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E7" w:rsidRDefault="00EB7CE7" w:rsidP="00EB7CE7">
      <w:pPr>
        <w:pStyle w:val="Heading1"/>
      </w:pPr>
      <w:bookmarkStart w:id="0" w:name="_GoBack"/>
      <w:bookmarkEnd w:id="0"/>
      <w:r>
        <w:rPr>
          <w:b w:val="0"/>
          <w:bCs w:val="0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127AC01" wp14:editId="59FE736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5600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Trustee Board - Minutes </w:t>
      </w:r>
      <w:r>
        <w:rPr>
          <w:lang w:val="en-GB"/>
        </w:rPr>
        <w:t>31</w:t>
      </w:r>
      <w:r w:rsidRPr="00EB7CE7">
        <w:rPr>
          <w:vertAlign w:val="superscript"/>
          <w:lang w:val="en-GB"/>
        </w:rPr>
        <w:t>st</w:t>
      </w:r>
      <w:r>
        <w:rPr>
          <w:lang w:val="en-GB"/>
        </w:rPr>
        <w:t xml:space="preserve"> May 2016</w:t>
      </w:r>
    </w:p>
    <w:p w:rsidR="00EB7CE7" w:rsidRDefault="00EB7CE7" w:rsidP="00EB7CE7"/>
    <w:p w:rsidR="00EB7CE7" w:rsidRDefault="00EB7CE7" w:rsidP="00EB7CE7"/>
    <w:p w:rsidR="00EB7CE7" w:rsidRPr="00F552E5" w:rsidRDefault="00EB7CE7" w:rsidP="00EB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EB7CE7" w:rsidRPr="006A3CA0" w:rsidTr="00B85744">
        <w:trPr>
          <w:trHeight w:val="397"/>
        </w:trPr>
        <w:tc>
          <w:tcPr>
            <w:tcW w:w="9242" w:type="dxa"/>
            <w:gridSpan w:val="2"/>
            <w:shd w:val="clear" w:color="auto" w:fill="D6E3BC"/>
          </w:tcPr>
          <w:p w:rsidR="00EB7CE7" w:rsidRPr="00E2266C" w:rsidRDefault="00EB7CE7" w:rsidP="00B85744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In Attendance:</w:t>
            </w:r>
          </w:p>
        </w:tc>
      </w:tr>
      <w:tr w:rsidR="00EB7CE7" w:rsidRPr="006A3CA0" w:rsidTr="00B85744">
        <w:tc>
          <w:tcPr>
            <w:tcW w:w="4621" w:type="dxa"/>
            <w:shd w:val="clear" w:color="auto" w:fill="D6E3BC"/>
          </w:tcPr>
          <w:p w:rsidR="00EB7CE7" w:rsidRPr="00E2266C" w:rsidRDefault="00EB7CE7" w:rsidP="00B85744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Trustees</w:t>
            </w:r>
          </w:p>
        </w:tc>
        <w:tc>
          <w:tcPr>
            <w:tcW w:w="4621" w:type="dxa"/>
            <w:shd w:val="clear" w:color="auto" w:fill="D6E3BC"/>
          </w:tcPr>
          <w:p w:rsidR="00EB7CE7" w:rsidRPr="00E2266C" w:rsidRDefault="00EB7CE7" w:rsidP="00B85744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Non-Trustees</w:t>
            </w:r>
          </w:p>
        </w:tc>
      </w:tr>
      <w:tr w:rsidR="00EB7CE7" w:rsidRPr="006A3CA0" w:rsidTr="00B85744">
        <w:trPr>
          <w:trHeight w:val="170"/>
        </w:trPr>
        <w:tc>
          <w:tcPr>
            <w:tcW w:w="4621" w:type="dxa"/>
          </w:tcPr>
          <w:p w:rsidR="00EB7CE7" w:rsidRPr="006A3CA0" w:rsidRDefault="00EB7CE7" w:rsidP="00B85744">
            <w:pPr>
              <w:spacing w:line="240" w:lineRule="auto"/>
            </w:pPr>
            <w:r>
              <w:rPr>
                <w:sz w:val="22"/>
              </w:rPr>
              <w:t xml:space="preserve">Kira Cox  </w:t>
            </w:r>
            <w:r w:rsidRPr="003D1499">
              <w:rPr>
                <w:b/>
                <w:sz w:val="22"/>
              </w:rPr>
              <w:t>(KC)</w:t>
            </w:r>
            <w:r w:rsidRPr="006A3CA0">
              <w:rPr>
                <w:sz w:val="22"/>
              </w:rPr>
              <w:t xml:space="preserve"> – Chair</w:t>
            </w:r>
          </w:p>
        </w:tc>
        <w:tc>
          <w:tcPr>
            <w:tcW w:w="4621" w:type="dxa"/>
          </w:tcPr>
          <w:p w:rsidR="00EB7CE7" w:rsidRPr="006A3CA0" w:rsidRDefault="00EB7CE7" w:rsidP="00B85744">
            <w:pPr>
              <w:spacing w:line="240" w:lineRule="auto"/>
            </w:pPr>
          </w:p>
        </w:tc>
      </w:tr>
      <w:tr w:rsidR="00EB7CE7" w:rsidRPr="006A3CA0" w:rsidTr="00B85744">
        <w:trPr>
          <w:trHeight w:val="170"/>
        </w:trPr>
        <w:tc>
          <w:tcPr>
            <w:tcW w:w="4621" w:type="dxa"/>
          </w:tcPr>
          <w:p w:rsidR="00EB7CE7" w:rsidRPr="006A3CA0" w:rsidRDefault="00EB7CE7" w:rsidP="00B85744">
            <w:pPr>
              <w:spacing w:line="240" w:lineRule="auto"/>
            </w:pPr>
            <w:r>
              <w:rPr>
                <w:sz w:val="22"/>
              </w:rPr>
              <w:t>Pranay Raj Shakya</w:t>
            </w:r>
            <w:r w:rsidRPr="006A3CA0">
              <w:rPr>
                <w:sz w:val="22"/>
              </w:rPr>
              <w:t xml:space="preserve"> (</w:t>
            </w:r>
            <w:r>
              <w:rPr>
                <w:b/>
                <w:sz w:val="22"/>
              </w:rPr>
              <w:t>PS</w:t>
            </w:r>
            <w:r w:rsidRPr="006A3CA0">
              <w:rPr>
                <w:sz w:val="22"/>
              </w:rPr>
              <w:t>)</w:t>
            </w:r>
          </w:p>
        </w:tc>
        <w:tc>
          <w:tcPr>
            <w:tcW w:w="4621" w:type="dxa"/>
          </w:tcPr>
          <w:p w:rsidR="00EB7CE7" w:rsidRPr="006A3CA0" w:rsidRDefault="00EB7CE7" w:rsidP="00B85744">
            <w:pPr>
              <w:spacing w:line="240" w:lineRule="auto"/>
            </w:pPr>
          </w:p>
        </w:tc>
      </w:tr>
      <w:tr w:rsidR="00EB7CE7" w:rsidRPr="006A3CA0" w:rsidTr="00B85744">
        <w:trPr>
          <w:trHeight w:val="170"/>
        </w:trPr>
        <w:tc>
          <w:tcPr>
            <w:tcW w:w="4621" w:type="dxa"/>
          </w:tcPr>
          <w:p w:rsidR="00EB7CE7" w:rsidRPr="00F41B3F" w:rsidRDefault="00EB7CE7" w:rsidP="00B85744">
            <w:pPr>
              <w:spacing w:line="240" w:lineRule="auto"/>
            </w:pPr>
            <w:r>
              <w:t>Ayo Akinrele (</w:t>
            </w:r>
            <w:r>
              <w:rPr>
                <w:b/>
              </w:rPr>
              <w:t>AA</w:t>
            </w:r>
            <w:r>
              <w:t>)</w:t>
            </w:r>
          </w:p>
        </w:tc>
        <w:tc>
          <w:tcPr>
            <w:tcW w:w="4621" w:type="dxa"/>
          </w:tcPr>
          <w:p w:rsidR="00EB7CE7" w:rsidRPr="008E7A6C" w:rsidRDefault="00EB7CE7" w:rsidP="00B85744">
            <w:pPr>
              <w:spacing w:line="240" w:lineRule="auto"/>
              <w:rPr>
                <w:b/>
                <w:color w:val="76923C"/>
                <w:sz w:val="28"/>
                <w:szCs w:val="28"/>
              </w:rPr>
            </w:pPr>
            <w:r>
              <w:rPr>
                <w:sz w:val="22"/>
              </w:rPr>
              <w:t>Steven Cox</w:t>
            </w:r>
            <w:r w:rsidRPr="006A3CA0">
              <w:rPr>
                <w:sz w:val="22"/>
              </w:rPr>
              <w:t xml:space="preserve"> (</w:t>
            </w:r>
            <w:r>
              <w:rPr>
                <w:b/>
                <w:sz w:val="22"/>
              </w:rPr>
              <w:t>SC</w:t>
            </w:r>
            <w:r w:rsidRPr="006A3CA0">
              <w:rPr>
                <w:sz w:val="22"/>
              </w:rPr>
              <w:t xml:space="preserve">) – </w:t>
            </w:r>
            <w:r>
              <w:rPr>
                <w:sz w:val="22"/>
              </w:rPr>
              <w:t>Student Activities &amp; Engagement Coordinator</w:t>
            </w:r>
          </w:p>
        </w:tc>
      </w:tr>
      <w:tr w:rsidR="00EB7CE7" w:rsidRPr="006A3CA0" w:rsidTr="00B85744">
        <w:trPr>
          <w:trHeight w:val="170"/>
        </w:trPr>
        <w:tc>
          <w:tcPr>
            <w:tcW w:w="4621" w:type="dxa"/>
          </w:tcPr>
          <w:p w:rsidR="00EB7CE7" w:rsidRPr="006A3CA0" w:rsidRDefault="00EB7CE7" w:rsidP="00B85744">
            <w:pPr>
              <w:spacing w:line="240" w:lineRule="auto"/>
            </w:pPr>
            <w:r>
              <w:t>Ian fisher (IF)</w:t>
            </w:r>
          </w:p>
        </w:tc>
        <w:tc>
          <w:tcPr>
            <w:tcW w:w="4621" w:type="dxa"/>
            <w:shd w:val="clear" w:color="auto" w:fill="auto"/>
          </w:tcPr>
          <w:p w:rsidR="00EB7CE7" w:rsidRPr="00531E38" w:rsidRDefault="00EB7CE7" w:rsidP="00B85744">
            <w:pPr>
              <w:pStyle w:val="Heading2"/>
              <w:spacing w:line="240" w:lineRule="auto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  <w:t>Phil Benton (Acting General manager Maternity cover)</w:t>
            </w:r>
          </w:p>
        </w:tc>
      </w:tr>
      <w:tr w:rsidR="00EB7CE7" w:rsidRPr="006A3CA0" w:rsidTr="00B85744">
        <w:trPr>
          <w:trHeight w:val="170"/>
        </w:trPr>
        <w:tc>
          <w:tcPr>
            <w:tcW w:w="4621" w:type="dxa"/>
          </w:tcPr>
          <w:p w:rsidR="00EB7CE7" w:rsidRPr="006A3CA0" w:rsidRDefault="00EB7CE7" w:rsidP="00EB7CE7">
            <w:pPr>
              <w:spacing w:line="240" w:lineRule="auto"/>
            </w:pPr>
            <w:r>
              <w:t>Alan Roberts (</w:t>
            </w:r>
            <w:r>
              <w:rPr>
                <w:b/>
              </w:rPr>
              <w:t>AR</w:t>
            </w:r>
            <w:r>
              <w:t xml:space="preserve">) </w:t>
            </w:r>
          </w:p>
        </w:tc>
        <w:tc>
          <w:tcPr>
            <w:tcW w:w="4621" w:type="dxa"/>
            <w:shd w:val="clear" w:color="auto" w:fill="auto"/>
          </w:tcPr>
          <w:p w:rsidR="00EB7CE7" w:rsidRPr="00531E38" w:rsidRDefault="00EB7CE7" w:rsidP="00B85744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B7CE7" w:rsidRPr="006A3CA0" w:rsidTr="00B85744">
        <w:trPr>
          <w:trHeight w:val="170"/>
        </w:trPr>
        <w:tc>
          <w:tcPr>
            <w:tcW w:w="4621" w:type="dxa"/>
          </w:tcPr>
          <w:p w:rsidR="00EB7CE7" w:rsidRPr="008E7A6C" w:rsidRDefault="00EB7CE7" w:rsidP="00B85744">
            <w:pPr>
              <w:spacing w:line="240" w:lineRule="auto"/>
            </w:pPr>
          </w:p>
        </w:tc>
        <w:tc>
          <w:tcPr>
            <w:tcW w:w="4621" w:type="dxa"/>
            <w:shd w:val="clear" w:color="auto" w:fill="auto"/>
          </w:tcPr>
          <w:p w:rsidR="00EB7CE7" w:rsidRPr="00531E38" w:rsidRDefault="00EB7CE7" w:rsidP="00B85744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B7CE7" w:rsidRPr="006A3CA0" w:rsidTr="00B85744">
        <w:trPr>
          <w:trHeight w:val="170"/>
        </w:trPr>
        <w:tc>
          <w:tcPr>
            <w:tcW w:w="4621" w:type="dxa"/>
          </w:tcPr>
          <w:p w:rsidR="00EB7CE7" w:rsidRDefault="00EB7CE7" w:rsidP="00B85744">
            <w:pPr>
              <w:spacing w:line="240" w:lineRule="auto"/>
            </w:pPr>
          </w:p>
        </w:tc>
        <w:tc>
          <w:tcPr>
            <w:tcW w:w="4621" w:type="dxa"/>
            <w:shd w:val="clear" w:color="auto" w:fill="auto"/>
          </w:tcPr>
          <w:p w:rsidR="00EB7CE7" w:rsidRPr="00531E38" w:rsidRDefault="00EB7CE7" w:rsidP="00B85744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B7CE7" w:rsidRPr="006A3CA0" w:rsidTr="00B85744">
        <w:trPr>
          <w:trHeight w:val="170"/>
        </w:trPr>
        <w:tc>
          <w:tcPr>
            <w:tcW w:w="4621" w:type="dxa"/>
          </w:tcPr>
          <w:p w:rsidR="00EB7CE7" w:rsidRDefault="00EB7CE7" w:rsidP="00B85744">
            <w:pPr>
              <w:spacing w:line="240" w:lineRule="auto"/>
            </w:pPr>
            <w:r>
              <w:t>Kofi Bediako (KB)</w:t>
            </w:r>
          </w:p>
        </w:tc>
        <w:tc>
          <w:tcPr>
            <w:tcW w:w="4621" w:type="dxa"/>
            <w:shd w:val="clear" w:color="auto" w:fill="auto"/>
          </w:tcPr>
          <w:p w:rsidR="00EB7CE7" w:rsidRPr="00531E38" w:rsidRDefault="00EB7CE7" w:rsidP="00B85744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EB7CE7" w:rsidRDefault="00EB7CE7" w:rsidP="00EB7CE7">
      <w:pPr>
        <w:pStyle w:val="Heading1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6061"/>
        <w:gridCol w:w="2613"/>
      </w:tblGrid>
      <w:tr w:rsidR="00EB7CE7" w:rsidRPr="006A3CA0" w:rsidTr="00B85744">
        <w:tc>
          <w:tcPr>
            <w:tcW w:w="568" w:type="dxa"/>
            <w:shd w:val="clear" w:color="auto" w:fill="D6E3BC"/>
            <w:vAlign w:val="center"/>
          </w:tcPr>
          <w:p w:rsidR="00EB7CE7" w:rsidRPr="006A3CA0" w:rsidRDefault="00EB7CE7" w:rsidP="00B85744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No.</w:t>
            </w:r>
          </w:p>
        </w:tc>
        <w:tc>
          <w:tcPr>
            <w:tcW w:w="6061" w:type="dxa"/>
            <w:shd w:val="clear" w:color="auto" w:fill="D6E3BC"/>
            <w:vAlign w:val="center"/>
          </w:tcPr>
          <w:p w:rsidR="00EB7CE7" w:rsidRPr="006A3CA0" w:rsidRDefault="00EB7CE7" w:rsidP="00B85744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Agenda Item</w:t>
            </w:r>
          </w:p>
        </w:tc>
        <w:tc>
          <w:tcPr>
            <w:tcW w:w="2613" w:type="dxa"/>
            <w:shd w:val="clear" w:color="auto" w:fill="D6E3BC"/>
            <w:vAlign w:val="center"/>
          </w:tcPr>
          <w:p w:rsidR="00EB7CE7" w:rsidRPr="006A3CA0" w:rsidRDefault="00EB7CE7" w:rsidP="00B85744">
            <w:pPr>
              <w:spacing w:line="240" w:lineRule="auto"/>
              <w:jc w:val="center"/>
              <w:rPr>
                <w:b/>
              </w:rPr>
            </w:pPr>
            <w:r w:rsidRPr="006A3CA0">
              <w:rPr>
                <w:b/>
                <w:sz w:val="22"/>
              </w:rPr>
              <w:t>Action Responsibility</w:t>
            </w:r>
          </w:p>
          <w:p w:rsidR="00EB7CE7" w:rsidRPr="006A3CA0" w:rsidRDefault="00EB7CE7" w:rsidP="00B85744">
            <w:pPr>
              <w:spacing w:line="240" w:lineRule="auto"/>
              <w:jc w:val="center"/>
              <w:rPr>
                <w:b/>
              </w:rPr>
            </w:pPr>
            <w:r w:rsidRPr="006A3CA0">
              <w:rPr>
                <w:b/>
                <w:sz w:val="22"/>
              </w:rPr>
              <w:t>&amp; Date by</w:t>
            </w:r>
          </w:p>
        </w:tc>
      </w:tr>
      <w:tr w:rsidR="00EB7CE7" w:rsidRPr="006A3CA0" w:rsidTr="00B85744">
        <w:tc>
          <w:tcPr>
            <w:tcW w:w="568" w:type="dxa"/>
          </w:tcPr>
          <w:p w:rsidR="00EB7CE7" w:rsidRPr="006A3CA0" w:rsidRDefault="00EB7CE7" w:rsidP="00B85744">
            <w:pPr>
              <w:spacing w:line="240" w:lineRule="auto"/>
              <w:jc w:val="center"/>
            </w:pPr>
            <w:r w:rsidRPr="006A3CA0">
              <w:rPr>
                <w:sz w:val="22"/>
              </w:rPr>
              <w:t>1</w:t>
            </w:r>
          </w:p>
        </w:tc>
        <w:tc>
          <w:tcPr>
            <w:tcW w:w="6061" w:type="dxa"/>
          </w:tcPr>
          <w:p w:rsidR="00EB7CE7" w:rsidRPr="006A3CA0" w:rsidRDefault="00EB7CE7" w:rsidP="00B85744">
            <w:pPr>
              <w:spacing w:line="240" w:lineRule="auto"/>
            </w:pPr>
            <w:r w:rsidRPr="006A3CA0">
              <w:rPr>
                <w:b/>
                <w:sz w:val="22"/>
              </w:rPr>
              <w:t>Welcome from Chair</w:t>
            </w:r>
          </w:p>
          <w:p w:rsidR="00EB7CE7" w:rsidRPr="006A3CA0" w:rsidRDefault="00EB7CE7" w:rsidP="00B85744">
            <w:pPr>
              <w:spacing w:line="240" w:lineRule="auto"/>
            </w:pPr>
          </w:p>
          <w:p w:rsidR="00EB7CE7" w:rsidRDefault="00EB7CE7" w:rsidP="00B85744">
            <w:pPr>
              <w:spacing w:line="240" w:lineRule="auto"/>
              <w:rPr>
                <w:sz w:val="22"/>
              </w:rPr>
            </w:pPr>
            <w:r w:rsidRPr="006A3CA0">
              <w:rPr>
                <w:sz w:val="22"/>
              </w:rPr>
              <w:t>Chair opened meeting</w:t>
            </w:r>
            <w:r>
              <w:rPr>
                <w:sz w:val="22"/>
              </w:rPr>
              <w:t xml:space="preserve">  </w:t>
            </w:r>
          </w:p>
          <w:p w:rsidR="00EB7CE7" w:rsidRDefault="00EB7CE7" w:rsidP="00B85744">
            <w:pPr>
              <w:spacing w:line="240" w:lineRule="auto"/>
              <w:rPr>
                <w:sz w:val="22"/>
              </w:rPr>
            </w:pPr>
          </w:p>
          <w:p w:rsidR="00EB7CE7" w:rsidRDefault="00EB7CE7" w:rsidP="00B85744">
            <w:r w:rsidRPr="00D307AD">
              <w:rPr>
                <w:b/>
              </w:rPr>
              <w:t>Apologies</w:t>
            </w:r>
            <w:r>
              <w:t xml:space="preserve"> –Carys </w:t>
            </w:r>
            <w:r w:rsidR="0089543B">
              <w:t>Jones, Justine Dyson, Mal</w:t>
            </w:r>
            <w:r w:rsidR="005B761B">
              <w:t>i</w:t>
            </w:r>
            <w:r w:rsidR="0089543B">
              <w:t>ka Pac</w:t>
            </w:r>
            <w:r>
              <w:t>he</w:t>
            </w:r>
          </w:p>
          <w:p w:rsidR="00EB7CE7" w:rsidRDefault="00EB7CE7" w:rsidP="00B85744">
            <w:pPr>
              <w:spacing w:line="240" w:lineRule="auto"/>
              <w:rPr>
                <w:b/>
                <w:sz w:val="22"/>
              </w:rPr>
            </w:pPr>
          </w:p>
          <w:p w:rsidR="00EB7CE7" w:rsidRPr="00271F0F" w:rsidRDefault="00EB7CE7" w:rsidP="00B85744">
            <w:pPr>
              <w:spacing w:line="240" w:lineRule="auto"/>
            </w:pPr>
            <w:r>
              <w:rPr>
                <w:sz w:val="22"/>
              </w:rPr>
              <w:t>Chair confirmed meeting was quorate</w:t>
            </w:r>
          </w:p>
        </w:tc>
        <w:tc>
          <w:tcPr>
            <w:tcW w:w="2613" w:type="dxa"/>
          </w:tcPr>
          <w:p w:rsidR="00EB7CE7" w:rsidRPr="006A3CA0" w:rsidRDefault="00EB7CE7" w:rsidP="00B85744">
            <w:pPr>
              <w:spacing w:line="240" w:lineRule="auto"/>
            </w:pPr>
          </w:p>
        </w:tc>
      </w:tr>
      <w:tr w:rsidR="00EB7CE7" w:rsidRPr="006A3CA0" w:rsidTr="00B85744">
        <w:tc>
          <w:tcPr>
            <w:tcW w:w="568" w:type="dxa"/>
          </w:tcPr>
          <w:p w:rsidR="00EB7CE7" w:rsidRPr="006A3CA0" w:rsidRDefault="00EB7CE7" w:rsidP="00B85744">
            <w:pPr>
              <w:spacing w:line="240" w:lineRule="auto"/>
              <w:jc w:val="center"/>
            </w:pPr>
            <w:r w:rsidRPr="006A3CA0">
              <w:rPr>
                <w:sz w:val="22"/>
              </w:rPr>
              <w:t>2</w:t>
            </w:r>
          </w:p>
        </w:tc>
        <w:tc>
          <w:tcPr>
            <w:tcW w:w="6061" w:type="dxa"/>
          </w:tcPr>
          <w:p w:rsidR="00EB7CE7" w:rsidRPr="006A3CA0" w:rsidRDefault="00EB7CE7" w:rsidP="00B85744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Conflicts of Interest</w:t>
            </w:r>
          </w:p>
          <w:p w:rsidR="00EB7CE7" w:rsidRPr="006A3CA0" w:rsidRDefault="00EB7CE7" w:rsidP="00B85744">
            <w:pPr>
              <w:spacing w:line="240" w:lineRule="auto"/>
              <w:rPr>
                <w:b/>
              </w:rPr>
            </w:pPr>
          </w:p>
          <w:p w:rsidR="00EB7CE7" w:rsidRPr="00271F0F" w:rsidRDefault="00EB7CE7" w:rsidP="00EB7CE7">
            <w:pPr>
              <w:spacing w:line="240" w:lineRule="auto"/>
            </w:pPr>
            <w:r>
              <w:rPr>
                <w:sz w:val="22"/>
              </w:rPr>
              <w:t xml:space="preserve">AA, PS and KC  declared a conflict of interest in Item sabbatical annual leave  </w:t>
            </w:r>
          </w:p>
        </w:tc>
        <w:tc>
          <w:tcPr>
            <w:tcW w:w="2613" w:type="dxa"/>
          </w:tcPr>
          <w:p w:rsidR="00EB7CE7" w:rsidRPr="006A3CA0" w:rsidRDefault="00EB7CE7" w:rsidP="00B85744">
            <w:pPr>
              <w:spacing w:line="240" w:lineRule="auto"/>
            </w:pPr>
          </w:p>
        </w:tc>
      </w:tr>
      <w:tr w:rsidR="00EB7CE7" w:rsidRPr="006A3CA0" w:rsidTr="00B85744">
        <w:tc>
          <w:tcPr>
            <w:tcW w:w="568" w:type="dxa"/>
          </w:tcPr>
          <w:p w:rsidR="00EB7CE7" w:rsidRPr="006A3CA0" w:rsidRDefault="00EB7CE7" w:rsidP="00B85744">
            <w:pPr>
              <w:spacing w:line="240" w:lineRule="auto"/>
              <w:jc w:val="center"/>
            </w:pPr>
            <w:r w:rsidRPr="006A3CA0">
              <w:rPr>
                <w:sz w:val="22"/>
              </w:rPr>
              <w:t>3</w:t>
            </w:r>
          </w:p>
        </w:tc>
        <w:tc>
          <w:tcPr>
            <w:tcW w:w="6061" w:type="dxa"/>
          </w:tcPr>
          <w:p w:rsidR="00EB7CE7" w:rsidRPr="006A3CA0" w:rsidRDefault="00EB7CE7" w:rsidP="00B85744">
            <w:pPr>
              <w:spacing w:line="240" w:lineRule="auto"/>
              <w:rPr>
                <w:b/>
                <w:vertAlign w:val="superscript"/>
              </w:rPr>
            </w:pPr>
            <w:r w:rsidRPr="006A3CA0">
              <w:rPr>
                <w:b/>
                <w:sz w:val="22"/>
              </w:rPr>
              <w:t xml:space="preserve">Minutes from last meeting </w:t>
            </w:r>
          </w:p>
          <w:p w:rsidR="00EB7CE7" w:rsidRPr="006A3CA0" w:rsidRDefault="00EB7CE7" w:rsidP="00B85744">
            <w:pPr>
              <w:spacing w:line="240" w:lineRule="auto"/>
              <w:rPr>
                <w:b/>
              </w:rPr>
            </w:pPr>
          </w:p>
          <w:p w:rsidR="00EB7CE7" w:rsidRPr="006A3CA0" w:rsidRDefault="00EB7CE7" w:rsidP="00EB7CE7">
            <w:pPr>
              <w:spacing w:line="240" w:lineRule="auto"/>
              <w:rPr>
                <w:b/>
              </w:rPr>
            </w:pPr>
            <w:r w:rsidRPr="00950EA9">
              <w:rPr>
                <w:b/>
              </w:rPr>
              <w:t>Agreed</w:t>
            </w:r>
            <w:r>
              <w:t xml:space="preserve"> as a true and accurate </w:t>
            </w:r>
          </w:p>
        </w:tc>
        <w:tc>
          <w:tcPr>
            <w:tcW w:w="2613" w:type="dxa"/>
          </w:tcPr>
          <w:p w:rsidR="00EB7CE7" w:rsidRDefault="00EB7CE7" w:rsidP="00B85744">
            <w:pPr>
              <w:spacing w:line="240" w:lineRule="auto"/>
            </w:pPr>
          </w:p>
          <w:p w:rsidR="00EB7CE7" w:rsidRPr="006A3CA0" w:rsidRDefault="00EB7CE7" w:rsidP="00B85744">
            <w:pPr>
              <w:spacing w:line="240" w:lineRule="auto"/>
            </w:pPr>
          </w:p>
        </w:tc>
      </w:tr>
      <w:tr w:rsidR="00EB7CE7" w:rsidRPr="006A3CA0" w:rsidTr="00B85744">
        <w:tc>
          <w:tcPr>
            <w:tcW w:w="568" w:type="dxa"/>
          </w:tcPr>
          <w:p w:rsidR="00EB7CE7" w:rsidRPr="006A3CA0" w:rsidRDefault="00EB7CE7" w:rsidP="00B85744">
            <w:pPr>
              <w:spacing w:line="240" w:lineRule="auto"/>
              <w:jc w:val="center"/>
            </w:pPr>
            <w:r w:rsidRPr="006A3CA0">
              <w:rPr>
                <w:sz w:val="22"/>
              </w:rPr>
              <w:t>4</w:t>
            </w:r>
          </w:p>
        </w:tc>
        <w:tc>
          <w:tcPr>
            <w:tcW w:w="6061" w:type="dxa"/>
          </w:tcPr>
          <w:p w:rsidR="00EB7CE7" w:rsidRPr="006A3CA0" w:rsidRDefault="00EB7CE7" w:rsidP="00B85744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 xml:space="preserve">Matters Arising </w:t>
            </w:r>
            <w:r w:rsidR="0089543B">
              <w:rPr>
                <w:b/>
                <w:sz w:val="22"/>
                <w:vertAlign w:val="superscript"/>
              </w:rPr>
              <w:t>(paperTB149</w:t>
            </w:r>
            <w:r>
              <w:rPr>
                <w:b/>
                <w:sz w:val="22"/>
                <w:vertAlign w:val="superscript"/>
              </w:rPr>
              <w:t xml:space="preserve"> )</w:t>
            </w:r>
          </w:p>
          <w:p w:rsidR="00EB7CE7" w:rsidRDefault="00EB7CE7" w:rsidP="00B85744"/>
          <w:p w:rsidR="00EB7CE7" w:rsidRPr="00EB7CE7" w:rsidRDefault="00EB7CE7" w:rsidP="00EB7CE7">
            <w:pPr>
              <w:rPr>
                <w:rFonts w:cs="Calibri"/>
              </w:rPr>
            </w:pPr>
            <w:r w:rsidRPr="00EB7CE7">
              <w:t>S</w:t>
            </w:r>
            <w:r>
              <w:t xml:space="preserve">C </w:t>
            </w:r>
            <w:r w:rsidRPr="00EB7CE7">
              <w:t xml:space="preserve">reported that he will table a plan about Volunteering to the next trustee meeting </w:t>
            </w:r>
          </w:p>
        </w:tc>
        <w:tc>
          <w:tcPr>
            <w:tcW w:w="2613" w:type="dxa"/>
          </w:tcPr>
          <w:p w:rsidR="00EB7CE7" w:rsidRPr="006A3CA0" w:rsidRDefault="00EB7CE7" w:rsidP="00B85744">
            <w:pPr>
              <w:spacing w:line="240" w:lineRule="auto"/>
            </w:pPr>
          </w:p>
          <w:p w:rsidR="00EB7CE7" w:rsidRDefault="00EB7CE7" w:rsidP="00B85744">
            <w:pPr>
              <w:spacing w:line="240" w:lineRule="auto"/>
              <w:rPr>
                <w:color w:val="FF0000"/>
              </w:rPr>
            </w:pPr>
          </w:p>
          <w:p w:rsidR="00EB7CE7" w:rsidRPr="006A3CA0" w:rsidRDefault="0089543B" w:rsidP="00B85744">
            <w:pPr>
              <w:spacing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SC</w:t>
            </w:r>
          </w:p>
        </w:tc>
      </w:tr>
      <w:tr w:rsidR="00EB7CE7" w:rsidRPr="006A3CA0" w:rsidTr="00C15820">
        <w:trPr>
          <w:trHeight w:val="70"/>
        </w:trPr>
        <w:tc>
          <w:tcPr>
            <w:tcW w:w="568" w:type="dxa"/>
          </w:tcPr>
          <w:p w:rsidR="00EB7CE7" w:rsidRPr="006A3CA0" w:rsidRDefault="00EB7CE7" w:rsidP="00B85744">
            <w:pPr>
              <w:spacing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6061" w:type="dxa"/>
          </w:tcPr>
          <w:p w:rsidR="00EB7CE7" w:rsidRDefault="00EB7CE7" w:rsidP="00B85744">
            <w:pPr>
              <w:spacing w:line="240" w:lineRule="auto"/>
              <w:rPr>
                <w:sz w:val="22"/>
              </w:rPr>
            </w:pPr>
            <w:r w:rsidRPr="00782547">
              <w:rPr>
                <w:b/>
                <w:sz w:val="22"/>
              </w:rPr>
              <w:t>Union Update</w:t>
            </w:r>
            <w:r>
              <w:rPr>
                <w:sz w:val="22"/>
              </w:rPr>
              <w:t xml:space="preserve"> </w:t>
            </w:r>
            <w:r w:rsidR="0089543B">
              <w:rPr>
                <w:b/>
                <w:sz w:val="22"/>
                <w:vertAlign w:val="superscript"/>
              </w:rPr>
              <w:t>(paperTB150</w:t>
            </w:r>
            <w:r w:rsidRPr="006A3CA0">
              <w:rPr>
                <w:b/>
                <w:sz w:val="22"/>
                <w:vertAlign w:val="superscript"/>
              </w:rPr>
              <w:t>)</w:t>
            </w:r>
          </w:p>
          <w:p w:rsidR="00EB7CE7" w:rsidRDefault="00EB7CE7" w:rsidP="00B85744">
            <w:pPr>
              <w:spacing w:line="240" w:lineRule="auto"/>
              <w:rPr>
                <w:sz w:val="22"/>
              </w:rPr>
            </w:pPr>
          </w:p>
          <w:p w:rsidR="00EB7CE7" w:rsidRDefault="00C15820" w:rsidP="00EB7CE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KC introduced the paper and highlighted key aspects such as :</w:t>
            </w:r>
          </w:p>
          <w:p w:rsidR="00C15820" w:rsidRDefault="00C15820" w:rsidP="00EB7CE7">
            <w:pPr>
              <w:spacing w:line="240" w:lineRule="auto"/>
              <w:rPr>
                <w:sz w:val="22"/>
              </w:rPr>
            </w:pPr>
          </w:p>
          <w:p w:rsidR="00C15820" w:rsidRDefault="0089543B" w:rsidP="00EB7CE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143 attendees for SU awards </w:t>
            </w:r>
          </w:p>
          <w:p w:rsidR="0089543B" w:rsidRPr="006F4BFC" w:rsidRDefault="0089543B" w:rsidP="00EB7CE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Our motions to NUS conference were passed. </w:t>
            </w:r>
          </w:p>
        </w:tc>
        <w:tc>
          <w:tcPr>
            <w:tcW w:w="2613" w:type="dxa"/>
          </w:tcPr>
          <w:p w:rsidR="00EB7CE7" w:rsidRPr="006A3CA0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color w:val="FF0000"/>
              </w:rPr>
            </w:pPr>
          </w:p>
          <w:p w:rsidR="00EB7CE7" w:rsidRPr="00CE0146" w:rsidRDefault="00EB7CE7" w:rsidP="00B85744">
            <w:pPr>
              <w:spacing w:line="240" w:lineRule="auto"/>
              <w:rPr>
                <w:color w:val="FF0000"/>
              </w:rPr>
            </w:pPr>
          </w:p>
        </w:tc>
      </w:tr>
      <w:tr w:rsidR="00EB7CE7" w:rsidRPr="006A3CA0" w:rsidTr="00021AA2">
        <w:trPr>
          <w:trHeight w:val="2366"/>
        </w:trPr>
        <w:tc>
          <w:tcPr>
            <w:tcW w:w="568" w:type="dxa"/>
          </w:tcPr>
          <w:p w:rsidR="00EB7CE7" w:rsidRDefault="00EB7CE7" w:rsidP="00B8574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6061" w:type="dxa"/>
          </w:tcPr>
          <w:p w:rsidR="00EB7CE7" w:rsidRDefault="00EB7CE7" w:rsidP="00B85744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Strategic Plan Update  </w:t>
            </w:r>
            <w:r>
              <w:rPr>
                <w:b/>
                <w:sz w:val="22"/>
                <w:vertAlign w:val="superscript"/>
              </w:rPr>
              <w:t>(paperTB1</w:t>
            </w:r>
            <w:r w:rsidR="0089543B">
              <w:rPr>
                <w:b/>
                <w:sz w:val="22"/>
                <w:vertAlign w:val="superscript"/>
              </w:rPr>
              <w:t>51</w:t>
            </w:r>
            <w:r>
              <w:rPr>
                <w:b/>
                <w:sz w:val="22"/>
                <w:vertAlign w:val="superscript"/>
              </w:rPr>
              <w:t xml:space="preserve"> </w:t>
            </w:r>
            <w:r w:rsidRPr="006A3CA0">
              <w:rPr>
                <w:b/>
                <w:sz w:val="22"/>
                <w:vertAlign w:val="superscript"/>
              </w:rPr>
              <w:t>)</w:t>
            </w:r>
          </w:p>
          <w:p w:rsidR="00EB7CE7" w:rsidRDefault="00EB7CE7" w:rsidP="00EB7CE7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KC </w:t>
            </w:r>
            <w:r w:rsidRPr="00993DC4">
              <w:rPr>
                <w:sz w:val="22"/>
                <w:szCs w:val="24"/>
              </w:rPr>
              <w:t xml:space="preserve">introduced the </w:t>
            </w:r>
            <w:r>
              <w:rPr>
                <w:sz w:val="22"/>
                <w:szCs w:val="24"/>
              </w:rPr>
              <w:t xml:space="preserve">report she stated that the only major change was the soft launch of the annual survey, (48 responses thus far) </w:t>
            </w:r>
          </w:p>
          <w:p w:rsidR="00EB7CE7" w:rsidRDefault="00EB7CE7" w:rsidP="00EB7CE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IF Asked how often are targets  revisited </w:t>
            </w:r>
          </w:p>
          <w:p w:rsidR="00EB7CE7" w:rsidRDefault="00EB7CE7" w:rsidP="00EB7CE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AR </w:t>
            </w:r>
            <w:r w:rsidR="00021AA2">
              <w:rPr>
                <w:sz w:val="22"/>
              </w:rPr>
              <w:t>Asked</w:t>
            </w:r>
            <w:r>
              <w:rPr>
                <w:sz w:val="22"/>
              </w:rPr>
              <w:t xml:space="preserve"> how do we reflect on the targets </w:t>
            </w:r>
          </w:p>
          <w:p w:rsidR="00EB7CE7" w:rsidRDefault="00EB7CE7" w:rsidP="00EB7CE7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sz w:val="22"/>
              </w:rPr>
              <w:t>KC Responded by saying that the survey fits in with key targets so we can reflect on the plan when we analyse the responses</w:t>
            </w:r>
          </w:p>
          <w:p w:rsidR="00EB7CE7" w:rsidRDefault="00EB7CE7" w:rsidP="00EB7CE7">
            <w:pPr>
              <w:rPr>
                <w:b/>
                <w:sz w:val="22"/>
                <w:szCs w:val="24"/>
              </w:rPr>
            </w:pPr>
          </w:p>
        </w:tc>
        <w:tc>
          <w:tcPr>
            <w:tcW w:w="2613" w:type="dxa"/>
          </w:tcPr>
          <w:p w:rsidR="00EB7CE7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  <w:p w:rsidR="00EB7CE7" w:rsidRPr="00036A67" w:rsidRDefault="00EB7CE7" w:rsidP="00B85744">
            <w:pPr>
              <w:spacing w:line="240" w:lineRule="auto"/>
              <w:rPr>
                <w:color w:val="FF0000"/>
              </w:rPr>
            </w:pPr>
          </w:p>
        </w:tc>
      </w:tr>
      <w:tr w:rsidR="00EB7CE7" w:rsidRPr="006A3CA0" w:rsidTr="00B85744">
        <w:tc>
          <w:tcPr>
            <w:tcW w:w="568" w:type="dxa"/>
          </w:tcPr>
          <w:p w:rsidR="00EB7CE7" w:rsidRPr="006A3CA0" w:rsidRDefault="00EB7CE7" w:rsidP="00B8574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061" w:type="dxa"/>
          </w:tcPr>
          <w:p w:rsidR="00EB7CE7" w:rsidRDefault="00C735A1" w:rsidP="00B85744">
            <w:pPr>
              <w:rPr>
                <w:b/>
                <w:szCs w:val="24"/>
              </w:rPr>
            </w:pPr>
            <w:r w:rsidRPr="00021AA2">
              <w:rPr>
                <w:b/>
              </w:rPr>
              <w:t xml:space="preserve">Operational Procedure </w:t>
            </w:r>
            <w:r w:rsidR="0089543B">
              <w:rPr>
                <w:b/>
                <w:sz w:val="22"/>
                <w:vertAlign w:val="superscript"/>
              </w:rPr>
              <w:t>(paperTB152</w:t>
            </w:r>
            <w:r w:rsidR="00EB7CE7" w:rsidRPr="006A3CA0">
              <w:rPr>
                <w:b/>
                <w:sz w:val="22"/>
                <w:vertAlign w:val="superscript"/>
              </w:rPr>
              <w:t>)</w:t>
            </w:r>
          </w:p>
          <w:p w:rsidR="00EB7CE7" w:rsidRDefault="00EB7CE7" w:rsidP="00B85744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EB7CE7" w:rsidRPr="00C86C02" w:rsidRDefault="00C735A1" w:rsidP="00B8574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SC</w:t>
            </w:r>
            <w:r w:rsidR="00EB7CE7" w:rsidRPr="00C86C02">
              <w:rPr>
                <w:sz w:val="22"/>
              </w:rPr>
              <w:t xml:space="preserve"> presented the report</w:t>
            </w:r>
            <w:r>
              <w:rPr>
                <w:sz w:val="22"/>
              </w:rPr>
              <w:t xml:space="preserve">.  And mentioned that a </w:t>
            </w:r>
            <w:r w:rsidR="0089543B">
              <w:rPr>
                <w:sz w:val="22"/>
              </w:rPr>
              <w:t>number</w:t>
            </w:r>
            <w:r>
              <w:rPr>
                <w:sz w:val="22"/>
              </w:rPr>
              <w:t xml:space="preserve"> of </w:t>
            </w:r>
            <w:r w:rsidR="0089543B">
              <w:rPr>
                <w:sz w:val="22"/>
              </w:rPr>
              <w:t>t</w:t>
            </w:r>
            <w:r>
              <w:rPr>
                <w:sz w:val="22"/>
              </w:rPr>
              <w:t xml:space="preserve">he actions also had implications for the proposed recognition agreement between the SU and the university as the course reps are technically university and not SU course reps. </w:t>
            </w:r>
          </w:p>
          <w:p w:rsidR="00EB7CE7" w:rsidRPr="00C86C02" w:rsidRDefault="00EB7CE7" w:rsidP="00B85744">
            <w:pPr>
              <w:spacing w:line="240" w:lineRule="auto"/>
              <w:rPr>
                <w:sz w:val="22"/>
              </w:rPr>
            </w:pPr>
          </w:p>
          <w:p w:rsidR="00EB7CE7" w:rsidRPr="00C86C02" w:rsidRDefault="00C735A1" w:rsidP="00B85744">
            <w:pPr>
              <w:rPr>
                <w:b/>
                <w:sz w:val="22"/>
                <w:szCs w:val="24"/>
              </w:rPr>
            </w:pPr>
            <w:r>
              <w:rPr>
                <w:sz w:val="22"/>
              </w:rPr>
              <w:t xml:space="preserve">PS Stated that ultimately he wants to have formally accredited course reps and develop an association of course reps. </w:t>
            </w:r>
          </w:p>
        </w:tc>
        <w:tc>
          <w:tcPr>
            <w:tcW w:w="2613" w:type="dxa"/>
          </w:tcPr>
          <w:p w:rsidR="00EB7CE7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  <w:p w:rsidR="00EB7CE7" w:rsidRPr="00246A1A" w:rsidRDefault="00EB7CE7" w:rsidP="00B85744">
            <w:pPr>
              <w:spacing w:line="240" w:lineRule="auto"/>
              <w:rPr>
                <w:color w:val="FF0000"/>
              </w:rPr>
            </w:pPr>
          </w:p>
        </w:tc>
      </w:tr>
      <w:tr w:rsidR="00EB7CE7" w:rsidRPr="006A3CA0" w:rsidTr="00B85744">
        <w:tc>
          <w:tcPr>
            <w:tcW w:w="568" w:type="dxa"/>
          </w:tcPr>
          <w:p w:rsidR="00EB7CE7" w:rsidRPr="006A3CA0" w:rsidRDefault="00EB7CE7" w:rsidP="00B85744">
            <w:pPr>
              <w:spacing w:line="240" w:lineRule="auto"/>
              <w:jc w:val="center"/>
            </w:pPr>
            <w:r w:rsidRPr="006A3CA0">
              <w:rPr>
                <w:sz w:val="22"/>
              </w:rPr>
              <w:t>8</w:t>
            </w:r>
          </w:p>
        </w:tc>
        <w:tc>
          <w:tcPr>
            <w:tcW w:w="6061" w:type="dxa"/>
          </w:tcPr>
          <w:p w:rsidR="00EB7CE7" w:rsidRPr="00205F83" w:rsidRDefault="00C735A1" w:rsidP="00B85744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Quarter 3 Budget Update </w:t>
            </w:r>
            <w:r w:rsidR="0089543B">
              <w:rPr>
                <w:b/>
                <w:sz w:val="22"/>
                <w:vertAlign w:val="superscript"/>
              </w:rPr>
              <w:t>(paperTB153</w:t>
            </w:r>
            <w:r w:rsidR="0089543B" w:rsidRPr="006A3CA0">
              <w:rPr>
                <w:b/>
                <w:sz w:val="22"/>
                <w:vertAlign w:val="superscript"/>
              </w:rPr>
              <w:t>)</w:t>
            </w:r>
          </w:p>
          <w:p w:rsidR="00EB7CE7" w:rsidRDefault="00EB7CE7" w:rsidP="00B85744">
            <w:pPr>
              <w:rPr>
                <w:sz w:val="22"/>
                <w:szCs w:val="24"/>
              </w:rPr>
            </w:pPr>
          </w:p>
          <w:p w:rsidR="00EB7CE7" w:rsidRDefault="00C735A1" w:rsidP="00B8574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PB presented </w:t>
            </w:r>
            <w:r w:rsidR="00021AA2">
              <w:rPr>
                <w:sz w:val="22"/>
                <w:szCs w:val="24"/>
              </w:rPr>
              <w:t>t</w:t>
            </w:r>
            <w:r>
              <w:rPr>
                <w:sz w:val="22"/>
                <w:szCs w:val="24"/>
              </w:rPr>
              <w:t xml:space="preserve">he report </w:t>
            </w:r>
          </w:p>
          <w:p w:rsidR="00EB7CE7" w:rsidRDefault="00EB7CE7" w:rsidP="00B85744">
            <w:pPr>
              <w:rPr>
                <w:sz w:val="22"/>
                <w:szCs w:val="24"/>
              </w:rPr>
            </w:pPr>
          </w:p>
          <w:p w:rsidR="00EB7CE7" w:rsidRDefault="00C735A1" w:rsidP="00B8574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If raised various points about whether certain budget lines were accrued properly.</w:t>
            </w:r>
          </w:p>
          <w:p w:rsidR="00C735A1" w:rsidRDefault="00C735A1" w:rsidP="00B8574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It was agreed to discuss best </w:t>
            </w:r>
            <w:r w:rsidR="00CB4444">
              <w:rPr>
                <w:sz w:val="22"/>
                <w:szCs w:val="24"/>
              </w:rPr>
              <w:t>financial</w:t>
            </w:r>
            <w:r>
              <w:rPr>
                <w:sz w:val="22"/>
                <w:szCs w:val="24"/>
              </w:rPr>
              <w:t xml:space="preserve"> reporting practice at the Finance and Audit Subcommittee. </w:t>
            </w:r>
          </w:p>
          <w:p w:rsidR="00C735A1" w:rsidRDefault="00C735A1" w:rsidP="00B8574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KC reported that the Summer Ball had to be cancelled due to lack of sales. This would have an impact on the </w:t>
            </w:r>
            <w:r w:rsidR="00CB4444">
              <w:rPr>
                <w:sz w:val="22"/>
                <w:szCs w:val="24"/>
              </w:rPr>
              <w:t xml:space="preserve">budget and we may have to reduce the charitable activities income as a result. </w:t>
            </w:r>
          </w:p>
          <w:p w:rsidR="00EB7CE7" w:rsidRDefault="00EB7CE7" w:rsidP="00B85744">
            <w:pPr>
              <w:rPr>
                <w:sz w:val="22"/>
                <w:szCs w:val="24"/>
              </w:rPr>
            </w:pPr>
          </w:p>
          <w:p w:rsidR="00EB7CE7" w:rsidRDefault="00EB7CE7" w:rsidP="00B85744">
            <w:pPr>
              <w:rPr>
                <w:sz w:val="22"/>
                <w:szCs w:val="24"/>
              </w:rPr>
            </w:pPr>
          </w:p>
          <w:p w:rsidR="00EB7CE7" w:rsidRPr="0001503A" w:rsidRDefault="00EB7CE7" w:rsidP="00B85744">
            <w:pPr>
              <w:spacing w:line="240" w:lineRule="auto"/>
              <w:rPr>
                <w:sz w:val="22"/>
              </w:rPr>
            </w:pPr>
          </w:p>
        </w:tc>
        <w:tc>
          <w:tcPr>
            <w:tcW w:w="2613" w:type="dxa"/>
          </w:tcPr>
          <w:p w:rsidR="00EB7CE7" w:rsidRPr="006A3CA0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  <w:p w:rsidR="00EB7CE7" w:rsidRPr="006A3CA0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  <w:p w:rsidR="00EB7CE7" w:rsidRPr="006A3CA0" w:rsidRDefault="00EB7CE7" w:rsidP="00B85744">
            <w:pPr>
              <w:spacing w:line="240" w:lineRule="auto"/>
              <w:rPr>
                <w:color w:val="FF0000"/>
                <w:sz w:val="20"/>
                <w:szCs w:val="24"/>
              </w:rPr>
            </w:pPr>
          </w:p>
          <w:p w:rsidR="00EB7CE7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  <w:p w:rsidR="00EB7CE7" w:rsidRPr="006A3CA0" w:rsidRDefault="00EB7CE7" w:rsidP="00B85744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EB7CE7" w:rsidRPr="006A3CA0" w:rsidTr="00B85744">
        <w:tc>
          <w:tcPr>
            <w:tcW w:w="568" w:type="dxa"/>
          </w:tcPr>
          <w:p w:rsidR="00EB7CE7" w:rsidRPr="006A3CA0" w:rsidRDefault="00EB7CE7" w:rsidP="00B8574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061" w:type="dxa"/>
          </w:tcPr>
          <w:p w:rsidR="00EB7CE7" w:rsidRDefault="00CB4444" w:rsidP="00B857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Budget 2016/17</w:t>
            </w:r>
            <w:r w:rsidR="0089543B">
              <w:rPr>
                <w:b/>
                <w:szCs w:val="24"/>
              </w:rPr>
              <w:t xml:space="preserve"> </w:t>
            </w:r>
            <w:r w:rsidR="0089543B">
              <w:rPr>
                <w:b/>
                <w:sz w:val="22"/>
                <w:vertAlign w:val="superscript"/>
              </w:rPr>
              <w:t>(paperTB154</w:t>
            </w:r>
            <w:r w:rsidR="0089543B" w:rsidRPr="006A3CA0">
              <w:rPr>
                <w:b/>
                <w:sz w:val="22"/>
                <w:vertAlign w:val="superscript"/>
              </w:rPr>
              <w:t>)</w:t>
            </w:r>
          </w:p>
          <w:p w:rsidR="00CB4444" w:rsidRPr="00CB4444" w:rsidRDefault="00CB4444" w:rsidP="00B85744">
            <w:pPr>
              <w:rPr>
                <w:szCs w:val="24"/>
              </w:rPr>
            </w:pPr>
            <w:r w:rsidRPr="00CB4444">
              <w:rPr>
                <w:szCs w:val="24"/>
              </w:rPr>
              <w:t xml:space="preserve">PB stated that he had meet with staff to talk over proposed budget lines for 2016-17. </w:t>
            </w:r>
            <w:r w:rsidRPr="00CB4444">
              <w:rPr>
                <w:szCs w:val="24"/>
              </w:rPr>
              <w:br/>
            </w:r>
            <w:r w:rsidR="00021AA2" w:rsidRPr="00CB4444">
              <w:rPr>
                <w:szCs w:val="24"/>
              </w:rPr>
              <w:t>One</w:t>
            </w:r>
            <w:r w:rsidRPr="00CB4444">
              <w:rPr>
                <w:szCs w:val="24"/>
              </w:rPr>
              <w:t xml:space="preserve"> of the major changes was that the agreement not to pay for Sports Hall facility hire has freed up money to be spend on employing a dedicated Sports Administrator. Other changes include a reduction in marketing budget as the major expenditure on branding new space is not required. </w:t>
            </w:r>
          </w:p>
          <w:p w:rsidR="00EB7CE7" w:rsidRPr="00D558CA" w:rsidRDefault="00EB7CE7" w:rsidP="00B85744">
            <w:pPr>
              <w:rPr>
                <w:sz w:val="22"/>
                <w:szCs w:val="24"/>
              </w:rPr>
            </w:pPr>
          </w:p>
        </w:tc>
        <w:tc>
          <w:tcPr>
            <w:tcW w:w="2613" w:type="dxa"/>
          </w:tcPr>
          <w:p w:rsidR="00EB7CE7" w:rsidRDefault="00EB7CE7" w:rsidP="00B85744">
            <w:pPr>
              <w:spacing w:line="240" w:lineRule="auto"/>
              <w:rPr>
                <w:color w:val="FF0000"/>
              </w:rPr>
            </w:pPr>
          </w:p>
          <w:p w:rsidR="00EB7CE7" w:rsidRDefault="00EB7CE7" w:rsidP="00B85744">
            <w:pPr>
              <w:spacing w:line="240" w:lineRule="auto"/>
              <w:rPr>
                <w:color w:val="FF0000"/>
              </w:rPr>
            </w:pPr>
          </w:p>
          <w:p w:rsidR="00EB7CE7" w:rsidRPr="00036A67" w:rsidRDefault="00EB7CE7" w:rsidP="00B85744">
            <w:pPr>
              <w:spacing w:line="240" w:lineRule="auto"/>
              <w:rPr>
                <w:color w:val="FF0000"/>
              </w:rPr>
            </w:pPr>
          </w:p>
        </w:tc>
      </w:tr>
      <w:tr w:rsidR="00CB4444" w:rsidRPr="006A3CA0" w:rsidTr="00B85744">
        <w:tc>
          <w:tcPr>
            <w:tcW w:w="568" w:type="dxa"/>
          </w:tcPr>
          <w:p w:rsidR="00CB4444" w:rsidRDefault="00C74235" w:rsidP="00B8574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6061" w:type="dxa"/>
          </w:tcPr>
          <w:p w:rsidR="00CB4444" w:rsidRDefault="00C74235" w:rsidP="00B857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Independent Examiner Approval</w:t>
            </w:r>
            <w:r w:rsidR="0089543B">
              <w:rPr>
                <w:b/>
                <w:szCs w:val="24"/>
              </w:rPr>
              <w:t xml:space="preserve"> </w:t>
            </w:r>
            <w:r w:rsidR="0089543B">
              <w:rPr>
                <w:b/>
                <w:sz w:val="22"/>
                <w:vertAlign w:val="superscript"/>
              </w:rPr>
              <w:t>(paperTB155</w:t>
            </w:r>
            <w:r w:rsidR="0089543B" w:rsidRPr="006A3CA0">
              <w:rPr>
                <w:b/>
                <w:sz w:val="22"/>
                <w:vertAlign w:val="superscript"/>
              </w:rPr>
              <w:t>)</w:t>
            </w:r>
          </w:p>
          <w:p w:rsidR="00C74235" w:rsidRPr="00C15820" w:rsidRDefault="00C74235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>PB presented the report. It was agreed to appoint CCW to conduct a independent examination of accounts and then go to full tender next year.</w:t>
            </w:r>
          </w:p>
        </w:tc>
        <w:tc>
          <w:tcPr>
            <w:tcW w:w="2613" w:type="dxa"/>
          </w:tcPr>
          <w:p w:rsidR="00CB4444" w:rsidRDefault="00CB4444" w:rsidP="00B85744">
            <w:pPr>
              <w:spacing w:line="240" w:lineRule="auto"/>
              <w:rPr>
                <w:color w:val="FF0000"/>
              </w:rPr>
            </w:pPr>
          </w:p>
        </w:tc>
      </w:tr>
      <w:tr w:rsidR="00C74235" w:rsidRPr="006A3CA0" w:rsidTr="00B85744">
        <w:tc>
          <w:tcPr>
            <w:tcW w:w="568" w:type="dxa"/>
          </w:tcPr>
          <w:p w:rsidR="00C74235" w:rsidRDefault="00AC1ECB" w:rsidP="00B8574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61" w:type="dxa"/>
          </w:tcPr>
          <w:p w:rsidR="00C74235" w:rsidRDefault="00AC1ECB" w:rsidP="00B857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Trustee Recruitment </w:t>
            </w:r>
            <w:r w:rsidR="0089543B">
              <w:rPr>
                <w:b/>
                <w:sz w:val="22"/>
                <w:vertAlign w:val="superscript"/>
              </w:rPr>
              <w:t>(paperTB156</w:t>
            </w:r>
            <w:r w:rsidR="0089543B" w:rsidRPr="006A3CA0">
              <w:rPr>
                <w:b/>
                <w:sz w:val="22"/>
                <w:vertAlign w:val="superscript"/>
              </w:rPr>
              <w:t>)</w:t>
            </w:r>
          </w:p>
          <w:p w:rsidR="00AC1ECB" w:rsidRDefault="00AC1ECB" w:rsidP="00B85744">
            <w:pPr>
              <w:rPr>
                <w:b/>
                <w:szCs w:val="24"/>
              </w:rPr>
            </w:pPr>
          </w:p>
          <w:p w:rsidR="00AC1ECB" w:rsidRPr="00C15820" w:rsidRDefault="00AC1ECB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>AR term of office due to expire in August.</w:t>
            </w:r>
          </w:p>
          <w:p w:rsidR="00AC1ECB" w:rsidRPr="00C15820" w:rsidRDefault="00AC1ECB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>IF also indicated that he would be stepping down as a trustee in October due to childcare commitments. He is willing to use his contacts to recruit new trustees</w:t>
            </w:r>
          </w:p>
          <w:p w:rsidR="00AC1ECB" w:rsidRPr="00C15820" w:rsidRDefault="00AC1ECB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 xml:space="preserve">The names of five potential trustees were circulated for information. </w:t>
            </w:r>
            <w:r w:rsidRPr="00C15820">
              <w:rPr>
                <w:szCs w:val="24"/>
              </w:rPr>
              <w:br/>
              <w:t xml:space="preserve">AA stated it was important for students to be involved in the trustee recruitment process. </w:t>
            </w:r>
          </w:p>
          <w:p w:rsidR="00AC1ECB" w:rsidRPr="00C15820" w:rsidRDefault="00AC1ECB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>It was agreed to delegate responsibility to General Manager and sabbatical officer to shortlist trustee candidates.</w:t>
            </w:r>
          </w:p>
          <w:p w:rsidR="00AC1ECB" w:rsidRPr="00C15820" w:rsidRDefault="00AC1ECB" w:rsidP="00B85744">
            <w:pPr>
              <w:rPr>
                <w:szCs w:val="24"/>
              </w:rPr>
            </w:pPr>
          </w:p>
          <w:p w:rsidR="00AC1ECB" w:rsidRPr="00C15820" w:rsidRDefault="00AC1ECB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>Student Trustee</w:t>
            </w:r>
          </w:p>
          <w:p w:rsidR="00AC1ECB" w:rsidRPr="00C15820" w:rsidRDefault="00AC1ECB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 xml:space="preserve">PB highlighted the issue of student trustee having different terms of office and that their office automatically ends with them being a student. He stated that the direction of travel in the student movement was towards selection rather than election of student trustees. </w:t>
            </w:r>
          </w:p>
          <w:p w:rsidR="00AC1ECB" w:rsidRPr="00C15820" w:rsidRDefault="00AC1ECB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 xml:space="preserve">AR – It is possible to combine selection with election of trustees.  </w:t>
            </w:r>
            <w:r w:rsidR="0089543B" w:rsidRPr="00C15820">
              <w:rPr>
                <w:szCs w:val="24"/>
              </w:rPr>
              <w:t>i.e.</w:t>
            </w:r>
            <w:r w:rsidRPr="00C15820">
              <w:rPr>
                <w:szCs w:val="24"/>
              </w:rPr>
              <w:t xml:space="preserve"> electing the trustee from s selected short </w:t>
            </w:r>
            <w:r w:rsidR="0089543B" w:rsidRPr="00C15820">
              <w:rPr>
                <w:szCs w:val="24"/>
              </w:rPr>
              <w:t>list</w:t>
            </w:r>
            <w:r w:rsidRPr="00C15820">
              <w:rPr>
                <w:szCs w:val="24"/>
              </w:rPr>
              <w:t xml:space="preserve">. </w:t>
            </w:r>
          </w:p>
          <w:p w:rsidR="00AC1ECB" w:rsidRPr="00C15820" w:rsidRDefault="0074523C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>PB – the new CI</w:t>
            </w:r>
            <w:r w:rsidR="0089543B">
              <w:rPr>
                <w:szCs w:val="24"/>
              </w:rPr>
              <w:t>O</w:t>
            </w:r>
            <w:r w:rsidRPr="00C15820">
              <w:rPr>
                <w:szCs w:val="24"/>
              </w:rPr>
              <w:t xml:space="preserve"> model provides for selection of trustees.</w:t>
            </w:r>
          </w:p>
          <w:p w:rsidR="0074523C" w:rsidRPr="00C15820" w:rsidRDefault="0074523C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 xml:space="preserve">KC- Selection allows for targeting of students with key demographics and skill set who may not wish to stand for election. </w:t>
            </w:r>
          </w:p>
          <w:p w:rsidR="0074523C" w:rsidRPr="00C15820" w:rsidRDefault="0074523C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 xml:space="preserve">KB – Important to retain a democratic element. Prefers a selection then election approach. </w:t>
            </w:r>
          </w:p>
          <w:p w:rsidR="0074523C" w:rsidRPr="00C15820" w:rsidRDefault="0074523C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 xml:space="preserve">AR Need to separate out part time officer roles from student trustee roles and to integrate student with officer induction. </w:t>
            </w:r>
          </w:p>
          <w:p w:rsidR="00AC1ECB" w:rsidRDefault="00AC1ECB" w:rsidP="00B85744">
            <w:pPr>
              <w:rPr>
                <w:b/>
                <w:szCs w:val="24"/>
              </w:rPr>
            </w:pPr>
          </w:p>
        </w:tc>
        <w:tc>
          <w:tcPr>
            <w:tcW w:w="2613" w:type="dxa"/>
          </w:tcPr>
          <w:p w:rsidR="00C74235" w:rsidRDefault="00C74235" w:rsidP="00B85744">
            <w:pPr>
              <w:spacing w:line="240" w:lineRule="auto"/>
              <w:rPr>
                <w:color w:val="FF0000"/>
              </w:rPr>
            </w:pPr>
          </w:p>
          <w:p w:rsidR="00AC1ECB" w:rsidRDefault="00AC1ECB" w:rsidP="00B85744">
            <w:pPr>
              <w:spacing w:line="240" w:lineRule="auto"/>
              <w:rPr>
                <w:color w:val="FF0000"/>
              </w:rPr>
            </w:pPr>
          </w:p>
          <w:p w:rsidR="00AC1ECB" w:rsidRDefault="00AC1ECB" w:rsidP="00B85744">
            <w:pPr>
              <w:spacing w:line="240" w:lineRule="auto"/>
              <w:rPr>
                <w:color w:val="FF0000"/>
              </w:rPr>
            </w:pPr>
          </w:p>
          <w:p w:rsidR="00AC1ECB" w:rsidRDefault="00AC1ECB" w:rsidP="00B85744">
            <w:pPr>
              <w:spacing w:line="240" w:lineRule="auto"/>
              <w:rPr>
                <w:color w:val="FF0000"/>
              </w:rPr>
            </w:pPr>
          </w:p>
          <w:p w:rsidR="00AC1ECB" w:rsidRDefault="00AC1ECB" w:rsidP="00B85744">
            <w:pPr>
              <w:spacing w:line="240" w:lineRule="auto"/>
              <w:rPr>
                <w:color w:val="FF0000"/>
              </w:rPr>
            </w:pPr>
          </w:p>
          <w:p w:rsidR="00AC1ECB" w:rsidRDefault="00AC1ECB" w:rsidP="00B85744">
            <w:pPr>
              <w:spacing w:line="240" w:lineRule="auto"/>
              <w:rPr>
                <w:color w:val="FF0000"/>
              </w:rPr>
            </w:pPr>
          </w:p>
          <w:p w:rsidR="00AC1ECB" w:rsidRDefault="00AC1ECB" w:rsidP="00B85744">
            <w:pPr>
              <w:spacing w:line="240" w:lineRule="auto"/>
              <w:rPr>
                <w:color w:val="FF0000"/>
              </w:rPr>
            </w:pPr>
          </w:p>
          <w:p w:rsidR="00AC1ECB" w:rsidRDefault="00AC1ECB" w:rsidP="00B85744">
            <w:pPr>
              <w:spacing w:line="240" w:lineRule="auto"/>
              <w:rPr>
                <w:color w:val="FF0000"/>
              </w:rPr>
            </w:pPr>
          </w:p>
          <w:p w:rsidR="00AC1ECB" w:rsidRDefault="00AC1ECB" w:rsidP="00B85744">
            <w:pPr>
              <w:spacing w:line="240" w:lineRule="auto"/>
              <w:rPr>
                <w:color w:val="FF0000"/>
              </w:rPr>
            </w:pPr>
          </w:p>
          <w:p w:rsidR="00AC1ECB" w:rsidRDefault="00AC1ECB" w:rsidP="00B85744">
            <w:pPr>
              <w:spacing w:line="240" w:lineRule="auto"/>
              <w:rPr>
                <w:color w:val="FF0000"/>
              </w:rPr>
            </w:pPr>
          </w:p>
          <w:p w:rsidR="00AC1ECB" w:rsidRDefault="00AC1ECB" w:rsidP="00B85744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PB/KC</w:t>
            </w:r>
          </w:p>
        </w:tc>
      </w:tr>
      <w:tr w:rsidR="00C74235" w:rsidRPr="006A3CA0" w:rsidTr="00B85744">
        <w:tc>
          <w:tcPr>
            <w:tcW w:w="568" w:type="dxa"/>
          </w:tcPr>
          <w:p w:rsidR="00C74235" w:rsidRDefault="0074523C" w:rsidP="00B8574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6061" w:type="dxa"/>
          </w:tcPr>
          <w:p w:rsidR="00C74235" w:rsidRDefault="0074523C" w:rsidP="00B857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Staffing Matters </w:t>
            </w:r>
            <w:r w:rsidR="00021AA2">
              <w:rPr>
                <w:b/>
                <w:sz w:val="22"/>
                <w:vertAlign w:val="superscript"/>
              </w:rPr>
              <w:t>(paperTB157</w:t>
            </w:r>
            <w:r w:rsidR="00021AA2" w:rsidRPr="006A3CA0">
              <w:rPr>
                <w:b/>
                <w:sz w:val="22"/>
                <w:vertAlign w:val="superscript"/>
              </w:rPr>
              <w:t>)</w:t>
            </w:r>
          </w:p>
          <w:p w:rsidR="0074523C" w:rsidRPr="00C15820" w:rsidRDefault="0074523C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 xml:space="preserve">Sports Admin post- Discussion covered in budget item </w:t>
            </w:r>
          </w:p>
          <w:p w:rsidR="0074523C" w:rsidRPr="00C15820" w:rsidRDefault="0074523C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br/>
              <w:t xml:space="preserve">AR Chaired Item 12 </w:t>
            </w:r>
          </w:p>
          <w:p w:rsidR="0074523C" w:rsidRPr="00C15820" w:rsidRDefault="0074523C" w:rsidP="00B85744">
            <w:pPr>
              <w:rPr>
                <w:szCs w:val="24"/>
              </w:rPr>
            </w:pPr>
          </w:p>
          <w:p w:rsidR="0074523C" w:rsidRPr="00C15820" w:rsidRDefault="0074523C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lastRenderedPageBreak/>
              <w:t xml:space="preserve">PS </w:t>
            </w:r>
            <w:r w:rsidR="00911C69" w:rsidRPr="00C15820">
              <w:rPr>
                <w:szCs w:val="24"/>
              </w:rPr>
              <w:t>introduced</w:t>
            </w:r>
            <w:r w:rsidRPr="00C15820">
              <w:rPr>
                <w:szCs w:val="24"/>
              </w:rPr>
              <w:t xml:space="preserve"> his paper </w:t>
            </w:r>
          </w:p>
          <w:p w:rsidR="0074523C" w:rsidRPr="00C15820" w:rsidRDefault="0074523C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>IF The issue is how is annual leave managed</w:t>
            </w:r>
          </w:p>
          <w:p w:rsidR="0074523C" w:rsidRPr="00C15820" w:rsidRDefault="0074523C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 xml:space="preserve">AR – Duty of self care to use leave and TOIL appropriately. </w:t>
            </w:r>
          </w:p>
          <w:p w:rsidR="0074523C" w:rsidRPr="00C15820" w:rsidRDefault="00911C69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>AA- Need increased scrutiny from staff</w:t>
            </w:r>
          </w:p>
          <w:p w:rsidR="00911C69" w:rsidRPr="00C15820" w:rsidRDefault="00911C69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 xml:space="preserve">PB – Difference between PS circumstances and general principle. </w:t>
            </w:r>
          </w:p>
          <w:p w:rsidR="00911C69" w:rsidRPr="00C15820" w:rsidRDefault="00911C69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 xml:space="preserve">If Need to develop a TOIL policy for sabbatical officers. </w:t>
            </w:r>
          </w:p>
          <w:p w:rsidR="00911C69" w:rsidRPr="00C15820" w:rsidRDefault="00911C69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>It was agreed to let PS carry over 5 days into 2016/17 and to instruct the HR subcommittee to look at the issues surrounding annual leave and TOIL .</w:t>
            </w:r>
          </w:p>
          <w:p w:rsidR="0074523C" w:rsidRDefault="0074523C" w:rsidP="00B85744">
            <w:pPr>
              <w:rPr>
                <w:b/>
                <w:szCs w:val="24"/>
              </w:rPr>
            </w:pPr>
          </w:p>
        </w:tc>
        <w:tc>
          <w:tcPr>
            <w:tcW w:w="2613" w:type="dxa"/>
          </w:tcPr>
          <w:p w:rsidR="00C74235" w:rsidRDefault="00C74235" w:rsidP="00B85744">
            <w:pPr>
              <w:spacing w:line="240" w:lineRule="auto"/>
              <w:rPr>
                <w:color w:val="FF0000"/>
              </w:rPr>
            </w:pPr>
          </w:p>
        </w:tc>
      </w:tr>
      <w:tr w:rsidR="00911C69" w:rsidRPr="006A3CA0" w:rsidTr="00B85744">
        <w:tc>
          <w:tcPr>
            <w:tcW w:w="568" w:type="dxa"/>
          </w:tcPr>
          <w:p w:rsidR="00911C69" w:rsidRDefault="00911C69" w:rsidP="00B8574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6061" w:type="dxa"/>
          </w:tcPr>
          <w:p w:rsidR="00911C69" w:rsidRDefault="008A27C3" w:rsidP="00B857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Dates for 2016-17</w:t>
            </w:r>
            <w:r w:rsidR="0089543B">
              <w:rPr>
                <w:b/>
                <w:szCs w:val="24"/>
              </w:rPr>
              <w:t xml:space="preserve"> </w:t>
            </w:r>
            <w:r w:rsidR="0089543B">
              <w:rPr>
                <w:b/>
                <w:sz w:val="22"/>
                <w:vertAlign w:val="superscript"/>
              </w:rPr>
              <w:t>(paperTB15</w:t>
            </w:r>
            <w:r w:rsidR="00021AA2">
              <w:rPr>
                <w:b/>
                <w:sz w:val="22"/>
                <w:vertAlign w:val="superscript"/>
              </w:rPr>
              <w:t>8</w:t>
            </w:r>
            <w:r w:rsidR="0089543B" w:rsidRPr="006A3CA0">
              <w:rPr>
                <w:b/>
                <w:sz w:val="22"/>
                <w:vertAlign w:val="superscript"/>
              </w:rPr>
              <w:t>)</w:t>
            </w:r>
          </w:p>
          <w:p w:rsidR="008A27C3" w:rsidRPr="00021AA2" w:rsidRDefault="008A27C3" w:rsidP="00B85744">
            <w:pPr>
              <w:rPr>
                <w:szCs w:val="24"/>
              </w:rPr>
            </w:pPr>
            <w:r w:rsidRPr="00021AA2">
              <w:rPr>
                <w:szCs w:val="24"/>
              </w:rPr>
              <w:t xml:space="preserve">PB circulated proposed meeting dates for 2016/17. This was agreed </w:t>
            </w:r>
          </w:p>
        </w:tc>
        <w:tc>
          <w:tcPr>
            <w:tcW w:w="2613" w:type="dxa"/>
          </w:tcPr>
          <w:p w:rsidR="00911C69" w:rsidRDefault="00911C69" w:rsidP="00B85744">
            <w:pPr>
              <w:spacing w:line="240" w:lineRule="auto"/>
              <w:rPr>
                <w:color w:val="FF0000"/>
              </w:rPr>
            </w:pPr>
          </w:p>
        </w:tc>
      </w:tr>
      <w:tr w:rsidR="008A27C3" w:rsidRPr="006A3CA0" w:rsidTr="00B85744">
        <w:tc>
          <w:tcPr>
            <w:tcW w:w="568" w:type="dxa"/>
          </w:tcPr>
          <w:p w:rsidR="008A27C3" w:rsidRDefault="008A27C3" w:rsidP="00B8574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061" w:type="dxa"/>
          </w:tcPr>
          <w:p w:rsidR="008A27C3" w:rsidRDefault="008A27C3" w:rsidP="00B857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Urgent Business</w:t>
            </w:r>
          </w:p>
          <w:p w:rsidR="008A27C3" w:rsidRPr="00C15820" w:rsidRDefault="008A27C3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 xml:space="preserve">AA </w:t>
            </w:r>
            <w:r w:rsidR="00021AA2" w:rsidRPr="00C15820">
              <w:rPr>
                <w:szCs w:val="24"/>
              </w:rPr>
              <w:t>raised the</w:t>
            </w:r>
            <w:r w:rsidRPr="00C15820">
              <w:rPr>
                <w:szCs w:val="24"/>
              </w:rPr>
              <w:t xml:space="preserve"> issue of staff pay rates and its effects on retention </w:t>
            </w:r>
            <w:r w:rsidRPr="00C15820">
              <w:rPr>
                <w:szCs w:val="24"/>
              </w:rPr>
              <w:br/>
              <w:t xml:space="preserve">SC left the meeting. </w:t>
            </w:r>
          </w:p>
          <w:p w:rsidR="008A27C3" w:rsidRPr="00C15820" w:rsidRDefault="008A27C3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 xml:space="preserve">After discussion it was agreed that PB contacts Justine Dyson to agree </w:t>
            </w:r>
            <w:r w:rsidR="00021AA2" w:rsidRPr="00C15820">
              <w:rPr>
                <w:szCs w:val="24"/>
              </w:rPr>
              <w:t>acting</w:t>
            </w:r>
            <w:r w:rsidRPr="00C15820">
              <w:rPr>
                <w:szCs w:val="24"/>
              </w:rPr>
              <w:t xml:space="preserve"> up allowance to cover the extra responsibilities incurred by staff as a result of maternity cover. Such an allowance to be backdated to April.</w:t>
            </w:r>
          </w:p>
          <w:p w:rsidR="008A27C3" w:rsidRPr="00C15820" w:rsidRDefault="008A27C3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>HR subcommittee to look at cost of living increase.</w:t>
            </w:r>
          </w:p>
          <w:p w:rsidR="008A27C3" w:rsidRPr="00C15820" w:rsidRDefault="008A27C3" w:rsidP="00B85744">
            <w:pPr>
              <w:rPr>
                <w:szCs w:val="24"/>
              </w:rPr>
            </w:pPr>
            <w:r w:rsidRPr="00C15820">
              <w:rPr>
                <w:szCs w:val="24"/>
              </w:rPr>
              <w:t xml:space="preserve">That PB will conduct a job evaluation process with the staff. </w:t>
            </w:r>
          </w:p>
          <w:p w:rsidR="008A27C3" w:rsidRDefault="008A27C3" w:rsidP="00B85744">
            <w:pPr>
              <w:rPr>
                <w:b/>
                <w:szCs w:val="24"/>
              </w:rPr>
            </w:pPr>
          </w:p>
        </w:tc>
        <w:tc>
          <w:tcPr>
            <w:tcW w:w="2613" w:type="dxa"/>
          </w:tcPr>
          <w:p w:rsidR="008A27C3" w:rsidRDefault="008A27C3" w:rsidP="00B85744">
            <w:pPr>
              <w:spacing w:line="240" w:lineRule="auto"/>
              <w:rPr>
                <w:color w:val="FF0000"/>
              </w:rPr>
            </w:pPr>
          </w:p>
          <w:p w:rsidR="00021AA2" w:rsidRDefault="00021AA2" w:rsidP="00B85744">
            <w:pPr>
              <w:spacing w:line="240" w:lineRule="auto"/>
              <w:rPr>
                <w:color w:val="FF0000"/>
              </w:rPr>
            </w:pPr>
          </w:p>
          <w:p w:rsidR="00021AA2" w:rsidRDefault="00021AA2" w:rsidP="00B85744">
            <w:pPr>
              <w:spacing w:line="240" w:lineRule="auto"/>
              <w:rPr>
                <w:color w:val="FF0000"/>
              </w:rPr>
            </w:pPr>
          </w:p>
          <w:p w:rsidR="00021AA2" w:rsidRDefault="00021AA2" w:rsidP="00B85744">
            <w:pPr>
              <w:spacing w:line="240" w:lineRule="auto"/>
              <w:rPr>
                <w:color w:val="FF0000"/>
              </w:rPr>
            </w:pPr>
          </w:p>
          <w:p w:rsidR="00021AA2" w:rsidRDefault="00021AA2" w:rsidP="00B85744">
            <w:pPr>
              <w:spacing w:line="240" w:lineRule="auto"/>
              <w:rPr>
                <w:color w:val="FF0000"/>
              </w:rPr>
            </w:pPr>
          </w:p>
          <w:p w:rsidR="00021AA2" w:rsidRDefault="00021AA2" w:rsidP="00B85744">
            <w:pPr>
              <w:spacing w:line="240" w:lineRule="auto"/>
              <w:rPr>
                <w:color w:val="FF0000"/>
              </w:rPr>
            </w:pPr>
          </w:p>
          <w:p w:rsidR="00021AA2" w:rsidRDefault="00021AA2" w:rsidP="00B85744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PB </w:t>
            </w:r>
          </w:p>
        </w:tc>
      </w:tr>
    </w:tbl>
    <w:p w:rsidR="00EB7CE7" w:rsidRDefault="00EB7CE7" w:rsidP="00EB7CE7"/>
    <w:p w:rsidR="00EB7CE7" w:rsidRPr="008F2BDC" w:rsidRDefault="00EB7CE7" w:rsidP="00EB7CE7">
      <w:pPr>
        <w:jc w:val="center"/>
        <w:rPr>
          <w:b/>
        </w:rPr>
      </w:pPr>
      <w:r w:rsidRPr="008F2BDC">
        <w:rPr>
          <w:b/>
        </w:rPr>
        <w:t>Chair closed the meeting.</w:t>
      </w:r>
    </w:p>
    <w:p w:rsidR="00EB7CE7" w:rsidRDefault="00EB7CE7" w:rsidP="00EB7CE7"/>
    <w:p w:rsidR="00EB7CE7" w:rsidRDefault="00EB7CE7" w:rsidP="00EB7CE7">
      <w:r w:rsidRPr="008F2BDC">
        <w:rPr>
          <w:b/>
        </w:rPr>
        <w:t>Date of next meeting</w:t>
      </w:r>
      <w:r>
        <w:rPr>
          <w:b/>
        </w:rPr>
        <w:t xml:space="preserve"> :</w:t>
      </w:r>
      <w:r w:rsidR="00021AA2">
        <w:rPr>
          <w:b/>
        </w:rPr>
        <w:t xml:space="preserve"> 26</w:t>
      </w:r>
      <w:r w:rsidR="00021AA2" w:rsidRPr="00021AA2">
        <w:rPr>
          <w:b/>
          <w:vertAlign w:val="superscript"/>
        </w:rPr>
        <w:t>th</w:t>
      </w:r>
      <w:r w:rsidR="00021AA2">
        <w:rPr>
          <w:b/>
        </w:rPr>
        <w:t xml:space="preserve"> July 2016</w:t>
      </w:r>
    </w:p>
    <w:p w:rsidR="00EB7CE7" w:rsidRDefault="00EB7CE7" w:rsidP="00EB7CE7"/>
    <w:p w:rsidR="00FD4F7B" w:rsidRDefault="00FD4F7B"/>
    <w:sectPr w:rsidR="00FD4F7B" w:rsidSect="00E07C91">
      <w:headerReference w:type="default" r:id="rId8"/>
      <w:footerReference w:type="default" r:id="rId9"/>
      <w:pgSz w:w="11906" w:h="16838"/>
      <w:pgMar w:top="1440" w:right="1440" w:bottom="1440" w:left="1440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78" w:rsidRDefault="005B761B">
      <w:pPr>
        <w:spacing w:line="240" w:lineRule="auto"/>
      </w:pPr>
      <w:r>
        <w:separator/>
      </w:r>
    </w:p>
  </w:endnote>
  <w:endnote w:type="continuationSeparator" w:id="0">
    <w:p w:rsidR="00DF5E78" w:rsidRDefault="005B7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E3" w:rsidRDefault="00021AA2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056A0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056A0">
      <w:rPr>
        <w:b/>
        <w:bCs/>
        <w:noProof/>
      </w:rPr>
      <w:t>4</w:t>
    </w:r>
    <w:r>
      <w:rPr>
        <w:b/>
        <w:bCs/>
      </w:rPr>
      <w:fldChar w:fldCharType="end"/>
    </w:r>
  </w:p>
  <w:p w:rsidR="006256E3" w:rsidRDefault="00405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78" w:rsidRDefault="005B761B">
      <w:pPr>
        <w:spacing w:line="240" w:lineRule="auto"/>
      </w:pPr>
      <w:r>
        <w:separator/>
      </w:r>
    </w:p>
  </w:footnote>
  <w:footnote w:type="continuationSeparator" w:id="0">
    <w:p w:rsidR="00DF5E78" w:rsidRDefault="005B7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0" w:rsidRDefault="00425910">
    <w:pPr>
      <w:pStyle w:val="Header"/>
    </w:pPr>
    <w:r>
      <w:rPr>
        <w:lang w:val="en-GB"/>
      </w:rPr>
      <w:t>TB159</w:t>
    </w:r>
  </w:p>
  <w:p w:rsidR="006256E3" w:rsidRPr="00E401C4" w:rsidRDefault="004056A0" w:rsidP="00E40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E7"/>
    <w:rsid w:val="00021AA2"/>
    <w:rsid w:val="004056A0"/>
    <w:rsid w:val="00425910"/>
    <w:rsid w:val="005B761B"/>
    <w:rsid w:val="0074523C"/>
    <w:rsid w:val="0089543B"/>
    <w:rsid w:val="008A27C3"/>
    <w:rsid w:val="00911C69"/>
    <w:rsid w:val="00AC1ECB"/>
    <w:rsid w:val="00C15820"/>
    <w:rsid w:val="00C735A1"/>
    <w:rsid w:val="00C74235"/>
    <w:rsid w:val="00CB4444"/>
    <w:rsid w:val="00DF5E78"/>
    <w:rsid w:val="00EB7CE7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E7"/>
    <w:pPr>
      <w:spacing w:after="0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CE7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7CE7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7CE7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EB7CE7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EB7CE7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7CE7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EB7CE7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B7CE7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E7"/>
    <w:pPr>
      <w:spacing w:after="0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CE7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7CE7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7CE7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EB7CE7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EB7CE7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7CE7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EB7CE7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B7CE7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TB159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</dc:creator>
  <cp:lastModifiedBy>President SU</cp:lastModifiedBy>
  <cp:revision>2</cp:revision>
  <dcterms:created xsi:type="dcterms:W3CDTF">2016-07-20T09:49:00Z</dcterms:created>
  <dcterms:modified xsi:type="dcterms:W3CDTF">2016-07-20T09:49:00Z</dcterms:modified>
</cp:coreProperties>
</file>