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B8" w:rsidRDefault="008919B8" w:rsidP="008919B8">
      <w:pPr>
        <w:pStyle w:val="Heading1"/>
      </w:pPr>
      <w:r>
        <w:rPr>
          <w:b w:val="0"/>
          <w:bCs w:val="0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39BAEB" wp14:editId="48C4A48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25600" cy="8997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Tru</w:t>
      </w:r>
      <w:bookmarkStart w:id="0" w:name="_GoBack"/>
      <w:bookmarkEnd w:id="0"/>
      <w:r>
        <w:t xml:space="preserve">stee Board - Minutes </w:t>
      </w:r>
      <w:r>
        <w:rPr>
          <w:lang w:val="en-GB"/>
        </w:rPr>
        <w:t>10 October  2016</w:t>
      </w:r>
    </w:p>
    <w:p w:rsidR="008919B8" w:rsidRDefault="008919B8" w:rsidP="008919B8"/>
    <w:p w:rsidR="008919B8" w:rsidRDefault="008919B8" w:rsidP="008919B8"/>
    <w:p w:rsidR="008919B8" w:rsidRPr="00F552E5" w:rsidRDefault="008919B8" w:rsidP="0089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8919B8" w:rsidRPr="006A3CA0" w:rsidTr="004F0E4E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p w:rsidR="008919B8" w:rsidRPr="00E2266C" w:rsidRDefault="008919B8" w:rsidP="00B47028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In Attendance:</w:t>
            </w:r>
          </w:p>
        </w:tc>
      </w:tr>
      <w:tr w:rsidR="008919B8" w:rsidRPr="006A3CA0" w:rsidTr="004F0E4E">
        <w:tc>
          <w:tcPr>
            <w:tcW w:w="4508" w:type="dxa"/>
            <w:shd w:val="clear" w:color="auto" w:fill="D6E3BC"/>
          </w:tcPr>
          <w:p w:rsidR="008919B8" w:rsidRPr="00E2266C" w:rsidRDefault="008919B8" w:rsidP="00B47028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8919B8" w:rsidRPr="00E2266C" w:rsidRDefault="008919B8" w:rsidP="00B47028">
            <w:pPr>
              <w:pStyle w:val="Heading2"/>
              <w:rPr>
                <w:rFonts w:eastAsia="Times New Roman"/>
                <w:sz w:val="28"/>
                <w:lang w:val="en-GB" w:eastAsia="en-US"/>
              </w:rPr>
            </w:pPr>
            <w:r w:rsidRPr="00E2266C">
              <w:rPr>
                <w:rFonts w:eastAsia="Times New Roman"/>
                <w:sz w:val="28"/>
                <w:lang w:val="en-GB" w:eastAsia="en-US"/>
              </w:rPr>
              <w:t>Non-Trustees</w:t>
            </w: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6A3CA0" w:rsidRDefault="004F0E4E" w:rsidP="004F0E4E">
            <w:pPr>
              <w:spacing w:line="240" w:lineRule="auto"/>
            </w:pPr>
            <w:r>
              <w:rPr>
                <w:sz w:val="22"/>
              </w:rPr>
              <w:t xml:space="preserve">Kira Cox  </w:t>
            </w:r>
            <w:r w:rsidRPr="003D1499">
              <w:rPr>
                <w:b/>
                <w:sz w:val="22"/>
              </w:rPr>
              <w:t>(KC)</w:t>
            </w:r>
            <w:r w:rsidRPr="006A3CA0">
              <w:rPr>
                <w:sz w:val="22"/>
              </w:rPr>
              <w:t xml:space="preserve"> – Chair</w:t>
            </w:r>
          </w:p>
        </w:tc>
        <w:tc>
          <w:tcPr>
            <w:tcW w:w="4508" w:type="dxa"/>
          </w:tcPr>
          <w:p w:rsidR="004F0E4E" w:rsidRPr="008E7A6C" w:rsidRDefault="004F0E4E" w:rsidP="004F0E4E">
            <w:pPr>
              <w:spacing w:line="240" w:lineRule="auto"/>
              <w:rPr>
                <w:b/>
                <w:color w:val="76923C"/>
                <w:sz w:val="28"/>
                <w:szCs w:val="28"/>
              </w:rPr>
            </w:pPr>
            <w:r>
              <w:rPr>
                <w:sz w:val="22"/>
              </w:rPr>
              <w:t>Steven Cox</w:t>
            </w:r>
            <w:r w:rsidRPr="006A3CA0">
              <w:rPr>
                <w:sz w:val="22"/>
              </w:rPr>
              <w:t xml:space="preserve"> (</w:t>
            </w:r>
            <w:r>
              <w:rPr>
                <w:sz w:val="22"/>
              </w:rPr>
              <w:t>SC)</w:t>
            </w:r>
            <w:r w:rsidRPr="006A3CA0">
              <w:rPr>
                <w:sz w:val="22"/>
              </w:rPr>
              <w:t xml:space="preserve"> – </w:t>
            </w:r>
            <w:r>
              <w:rPr>
                <w:sz w:val="22"/>
              </w:rPr>
              <w:t>Student Activities and Engagement Coordinator</w:t>
            </w: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6A3CA0" w:rsidRDefault="004F0E4E" w:rsidP="004F0E4E">
            <w:pPr>
              <w:spacing w:line="240" w:lineRule="auto"/>
            </w:pPr>
            <w:proofErr w:type="spellStart"/>
            <w:r>
              <w:rPr>
                <w:sz w:val="22"/>
              </w:rPr>
              <w:t>Pranay</w:t>
            </w:r>
            <w:proofErr w:type="spellEnd"/>
            <w:r>
              <w:rPr>
                <w:sz w:val="22"/>
              </w:rPr>
              <w:t xml:space="preserve"> Raj </w:t>
            </w:r>
            <w:proofErr w:type="spellStart"/>
            <w:r>
              <w:rPr>
                <w:sz w:val="22"/>
              </w:rPr>
              <w:t>Shakya</w:t>
            </w:r>
            <w:proofErr w:type="spellEnd"/>
            <w:r w:rsidRPr="006A3CA0">
              <w:rPr>
                <w:sz w:val="22"/>
              </w:rPr>
              <w:t xml:space="preserve"> (</w:t>
            </w:r>
            <w:r>
              <w:rPr>
                <w:b/>
                <w:sz w:val="22"/>
              </w:rPr>
              <w:t>PS</w:t>
            </w:r>
            <w:r w:rsidRPr="006A3CA0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08" w:type="dxa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Phil Benton (</w:t>
            </w:r>
            <w:proofErr w:type="gramStart"/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PB  -</w:t>
            </w:r>
            <w:proofErr w:type="gramEnd"/>
            <w:r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  <w:t>Acting General Manager)</w:t>
            </w: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F41B3F" w:rsidRDefault="004F0E4E" w:rsidP="004F0E4E">
            <w:pPr>
              <w:spacing w:line="240" w:lineRule="auto"/>
            </w:pPr>
            <w:proofErr w:type="spellStart"/>
            <w:r>
              <w:t>Carys</w:t>
            </w:r>
            <w:proofErr w:type="spellEnd"/>
            <w:r>
              <w:t xml:space="preserve"> Jones (</w:t>
            </w:r>
            <w:r>
              <w:rPr>
                <w:b/>
              </w:rPr>
              <w:t>CJ)</w:t>
            </w:r>
          </w:p>
        </w:tc>
        <w:tc>
          <w:tcPr>
            <w:tcW w:w="4508" w:type="dxa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Caroline Bates </w:t>
            </w:r>
            <w:proofErr w:type="gramStart"/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>( General</w:t>
            </w:r>
            <w:proofErr w:type="gramEnd"/>
            <w:r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  <w:t xml:space="preserve"> Manager)</w:t>
            </w: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6A3CA0" w:rsidRDefault="004F0E4E" w:rsidP="004F0E4E">
            <w:pPr>
              <w:spacing w:line="240" w:lineRule="auto"/>
            </w:pPr>
          </w:p>
        </w:tc>
        <w:tc>
          <w:tcPr>
            <w:tcW w:w="4508" w:type="dxa"/>
            <w:shd w:val="clear" w:color="auto" w:fill="auto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eastAsia="Times New Roman" w:hAnsi="Calibri"/>
                <w:b w:val="0"/>
                <w:color w:val="auto"/>
                <w:sz w:val="24"/>
                <w:szCs w:val="24"/>
                <w:lang w:val="en-GB" w:eastAsia="en-US"/>
              </w:rPr>
            </w:pP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6A3CA0" w:rsidRDefault="004F0E4E" w:rsidP="004F0E4E">
            <w:pPr>
              <w:spacing w:line="240" w:lineRule="auto"/>
            </w:pPr>
          </w:p>
        </w:tc>
        <w:tc>
          <w:tcPr>
            <w:tcW w:w="4508" w:type="dxa"/>
            <w:shd w:val="clear" w:color="auto" w:fill="auto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Pr="00565338" w:rsidRDefault="004F0E4E" w:rsidP="004F0E4E">
            <w:pPr>
              <w:spacing w:line="240" w:lineRule="auto"/>
              <w:rPr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Default="004F0E4E" w:rsidP="004F0E4E">
            <w:pPr>
              <w:spacing w:line="240" w:lineRule="auto"/>
            </w:pPr>
          </w:p>
        </w:tc>
        <w:tc>
          <w:tcPr>
            <w:tcW w:w="4508" w:type="dxa"/>
            <w:shd w:val="clear" w:color="auto" w:fill="auto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  <w:tr w:rsidR="004F0E4E" w:rsidRPr="006A3CA0" w:rsidTr="004F0E4E">
        <w:trPr>
          <w:trHeight w:val="170"/>
        </w:trPr>
        <w:tc>
          <w:tcPr>
            <w:tcW w:w="4508" w:type="dxa"/>
          </w:tcPr>
          <w:p w:rsidR="004F0E4E" w:rsidRDefault="004F0E4E" w:rsidP="004F0E4E">
            <w:pPr>
              <w:spacing w:line="240" w:lineRule="auto"/>
            </w:pPr>
          </w:p>
        </w:tc>
        <w:tc>
          <w:tcPr>
            <w:tcW w:w="4508" w:type="dxa"/>
            <w:shd w:val="clear" w:color="auto" w:fill="auto"/>
          </w:tcPr>
          <w:p w:rsidR="004F0E4E" w:rsidRPr="00531E38" w:rsidRDefault="004F0E4E" w:rsidP="004F0E4E">
            <w:pPr>
              <w:pStyle w:val="Heading2"/>
              <w:spacing w:line="240" w:lineRule="auto"/>
              <w:rPr>
                <w:rFonts w:ascii="Calibri" w:hAnsi="Calibri"/>
                <w:b w:val="0"/>
                <w:color w:val="auto"/>
                <w:sz w:val="24"/>
                <w:szCs w:val="24"/>
                <w:lang w:val="en-GB"/>
              </w:rPr>
            </w:pPr>
          </w:p>
        </w:tc>
      </w:tr>
    </w:tbl>
    <w:p w:rsidR="008919B8" w:rsidRDefault="008919B8" w:rsidP="008919B8">
      <w:pPr>
        <w:pStyle w:val="Heading1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81"/>
        <w:gridCol w:w="2568"/>
      </w:tblGrid>
      <w:tr w:rsidR="008919B8" w:rsidRPr="006A3CA0" w:rsidTr="00B47028">
        <w:tc>
          <w:tcPr>
            <w:tcW w:w="568" w:type="dxa"/>
            <w:shd w:val="clear" w:color="auto" w:fill="D6E3BC"/>
            <w:vAlign w:val="center"/>
          </w:tcPr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No.</w:t>
            </w:r>
          </w:p>
        </w:tc>
        <w:tc>
          <w:tcPr>
            <w:tcW w:w="6061" w:type="dxa"/>
            <w:shd w:val="clear" w:color="auto" w:fill="D6E3BC"/>
            <w:vAlign w:val="center"/>
          </w:tcPr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Agenda Item</w:t>
            </w:r>
          </w:p>
        </w:tc>
        <w:tc>
          <w:tcPr>
            <w:tcW w:w="2613" w:type="dxa"/>
            <w:shd w:val="clear" w:color="auto" w:fill="D6E3BC"/>
            <w:vAlign w:val="center"/>
          </w:tcPr>
          <w:p w:rsidR="008919B8" w:rsidRPr="006A3CA0" w:rsidRDefault="008919B8" w:rsidP="00B47028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Action Responsibility</w:t>
            </w:r>
          </w:p>
          <w:p w:rsidR="008919B8" w:rsidRPr="006A3CA0" w:rsidRDefault="008919B8" w:rsidP="00B47028">
            <w:pPr>
              <w:spacing w:line="240" w:lineRule="auto"/>
              <w:jc w:val="center"/>
              <w:rPr>
                <w:b/>
              </w:rPr>
            </w:pPr>
            <w:r w:rsidRPr="006A3CA0">
              <w:rPr>
                <w:b/>
                <w:sz w:val="22"/>
              </w:rPr>
              <w:t>&amp; Date by</w:t>
            </w:r>
          </w:p>
        </w:tc>
      </w:tr>
      <w:tr w:rsidR="008919B8" w:rsidRPr="006A3CA0" w:rsidTr="00B47028"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 w:rsidRPr="006A3CA0">
              <w:rPr>
                <w:sz w:val="22"/>
              </w:rPr>
              <w:t>1</w:t>
            </w:r>
          </w:p>
        </w:tc>
        <w:tc>
          <w:tcPr>
            <w:tcW w:w="6061" w:type="dxa"/>
          </w:tcPr>
          <w:p w:rsidR="008919B8" w:rsidRPr="006A3CA0" w:rsidRDefault="008919B8" w:rsidP="00B47028">
            <w:pPr>
              <w:spacing w:line="240" w:lineRule="auto"/>
            </w:pPr>
            <w:r w:rsidRPr="006A3CA0">
              <w:rPr>
                <w:b/>
                <w:sz w:val="22"/>
              </w:rPr>
              <w:t>Welcome from Chair</w:t>
            </w:r>
          </w:p>
          <w:p w:rsidR="008919B8" w:rsidRPr="006A3CA0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  <w:r w:rsidRPr="006A3CA0">
              <w:rPr>
                <w:sz w:val="22"/>
              </w:rPr>
              <w:t>Chair opened meeting</w:t>
            </w:r>
            <w:r>
              <w:rPr>
                <w:sz w:val="22"/>
              </w:rPr>
              <w:t xml:space="preserve">  </w:t>
            </w: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</w:p>
          <w:p w:rsidR="008919B8" w:rsidRDefault="008919B8" w:rsidP="00B47028">
            <w:r w:rsidRPr="00D307AD">
              <w:rPr>
                <w:b/>
              </w:rPr>
              <w:t>Apologie</w:t>
            </w:r>
            <w:r>
              <w:rPr>
                <w:b/>
              </w:rPr>
              <w:t>s</w:t>
            </w:r>
            <w:r>
              <w:t xml:space="preserve"> Ayo </w:t>
            </w:r>
            <w:proofErr w:type="spellStart"/>
            <w:r>
              <w:t>Akinrele</w:t>
            </w:r>
            <w:proofErr w:type="spellEnd"/>
            <w:r>
              <w:t xml:space="preserve"> (</w:t>
            </w:r>
            <w:r>
              <w:rPr>
                <w:b/>
              </w:rPr>
              <w:t>AA</w:t>
            </w:r>
            <w:r>
              <w:t xml:space="preserve">) </w:t>
            </w:r>
          </w:p>
          <w:p w:rsidR="008919B8" w:rsidRDefault="008919B8" w:rsidP="00B47028">
            <w:pPr>
              <w:spacing w:line="240" w:lineRule="auto"/>
              <w:rPr>
                <w:b/>
                <w:sz w:val="22"/>
              </w:rPr>
            </w:pP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Chair stated that </w:t>
            </w:r>
            <w:proofErr w:type="gramStart"/>
            <w:r>
              <w:rPr>
                <w:sz w:val="22"/>
              </w:rPr>
              <w:t>the  meeting</w:t>
            </w:r>
            <w:proofErr w:type="gramEnd"/>
            <w:r>
              <w:rPr>
                <w:sz w:val="22"/>
              </w:rPr>
              <w:t xml:space="preserve"> was inquorate and any minutes taken would have to be ratified at the </w:t>
            </w:r>
            <w:r w:rsidR="004F0E4E">
              <w:rPr>
                <w:sz w:val="22"/>
              </w:rPr>
              <w:t>next</w:t>
            </w:r>
            <w:r>
              <w:rPr>
                <w:sz w:val="22"/>
              </w:rPr>
              <w:t xml:space="preserve"> quorate meeting. </w:t>
            </w: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</w:p>
          <w:p w:rsidR="008919B8" w:rsidRPr="00271F0F" w:rsidRDefault="008919B8" w:rsidP="00B47028">
            <w:pPr>
              <w:spacing w:line="240" w:lineRule="auto"/>
            </w:pPr>
          </w:p>
        </w:tc>
        <w:tc>
          <w:tcPr>
            <w:tcW w:w="2613" w:type="dxa"/>
          </w:tcPr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Pr="006A3CA0" w:rsidRDefault="008919B8" w:rsidP="00B47028">
            <w:pPr>
              <w:spacing w:line="240" w:lineRule="auto"/>
            </w:pPr>
          </w:p>
        </w:tc>
      </w:tr>
      <w:tr w:rsidR="008919B8" w:rsidRPr="006A3CA0" w:rsidTr="00B47028"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 w:rsidRPr="006A3CA0">
              <w:rPr>
                <w:sz w:val="22"/>
              </w:rPr>
              <w:t>2</w:t>
            </w:r>
          </w:p>
        </w:tc>
        <w:tc>
          <w:tcPr>
            <w:tcW w:w="6061" w:type="dxa"/>
          </w:tcPr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>Conflicts of Interest</w:t>
            </w:r>
          </w:p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</w:p>
          <w:p w:rsidR="008919B8" w:rsidRPr="00271F0F" w:rsidRDefault="008919B8" w:rsidP="00B47028">
            <w:pPr>
              <w:spacing w:line="240" w:lineRule="auto"/>
            </w:pPr>
            <w:r>
              <w:rPr>
                <w:sz w:val="22"/>
              </w:rPr>
              <w:t>There were none</w:t>
            </w:r>
          </w:p>
        </w:tc>
        <w:tc>
          <w:tcPr>
            <w:tcW w:w="2613" w:type="dxa"/>
          </w:tcPr>
          <w:p w:rsidR="008919B8" w:rsidRPr="006A3CA0" w:rsidRDefault="008919B8" w:rsidP="00B47028">
            <w:pPr>
              <w:spacing w:line="240" w:lineRule="auto"/>
            </w:pPr>
          </w:p>
        </w:tc>
      </w:tr>
      <w:tr w:rsidR="008919B8" w:rsidRPr="006A3CA0" w:rsidTr="00B47028"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 w:rsidRPr="006A3CA0">
              <w:rPr>
                <w:sz w:val="22"/>
              </w:rPr>
              <w:t>3</w:t>
            </w:r>
          </w:p>
        </w:tc>
        <w:tc>
          <w:tcPr>
            <w:tcW w:w="6061" w:type="dxa"/>
          </w:tcPr>
          <w:p w:rsidR="008919B8" w:rsidRPr="006A3CA0" w:rsidRDefault="008919B8" w:rsidP="00B47028">
            <w:pPr>
              <w:spacing w:line="240" w:lineRule="auto"/>
              <w:rPr>
                <w:b/>
                <w:vertAlign w:val="superscript"/>
              </w:rPr>
            </w:pPr>
            <w:r w:rsidRPr="006A3CA0">
              <w:rPr>
                <w:b/>
                <w:sz w:val="22"/>
              </w:rPr>
              <w:t xml:space="preserve">Minutes from last meeting </w:t>
            </w:r>
          </w:p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</w:p>
          <w:p w:rsidR="008919B8" w:rsidRDefault="008919B8" w:rsidP="00B47028">
            <w:pPr>
              <w:spacing w:line="240" w:lineRule="auto"/>
            </w:pPr>
            <w:r w:rsidRPr="00950EA9">
              <w:rPr>
                <w:b/>
              </w:rPr>
              <w:t>Agreed</w:t>
            </w:r>
            <w:r>
              <w:t xml:space="preserve"> as a true and accurate with the exception of typographical errors </w:t>
            </w:r>
          </w:p>
          <w:p w:rsidR="008919B8" w:rsidRDefault="008919B8" w:rsidP="00B47028">
            <w:pPr>
              <w:spacing w:line="240" w:lineRule="auto"/>
            </w:pPr>
          </w:p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  <w:r>
              <w:rPr>
                <w:sz w:val="22"/>
              </w:rPr>
              <w:t xml:space="preserve">PB </w:t>
            </w:r>
            <w:r w:rsidR="004F0E4E">
              <w:rPr>
                <w:sz w:val="22"/>
              </w:rPr>
              <w:t>indicated</w:t>
            </w:r>
            <w:r>
              <w:rPr>
                <w:sz w:val="22"/>
              </w:rPr>
              <w:t xml:space="preserve"> that he would e mail reserve minutes to trustees</w:t>
            </w:r>
          </w:p>
        </w:tc>
        <w:tc>
          <w:tcPr>
            <w:tcW w:w="2613" w:type="dxa"/>
          </w:tcPr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</w:pPr>
          </w:p>
          <w:p w:rsidR="008919B8" w:rsidRPr="006A3CA0" w:rsidRDefault="008919B8" w:rsidP="00B47028">
            <w:pPr>
              <w:spacing w:line="240" w:lineRule="auto"/>
            </w:pPr>
            <w:r>
              <w:t>PB</w:t>
            </w:r>
          </w:p>
        </w:tc>
      </w:tr>
      <w:tr w:rsidR="008919B8" w:rsidRPr="006A3CA0" w:rsidTr="00B47028"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 w:rsidRPr="006A3CA0">
              <w:rPr>
                <w:sz w:val="22"/>
              </w:rPr>
              <w:t>4</w:t>
            </w:r>
          </w:p>
        </w:tc>
        <w:tc>
          <w:tcPr>
            <w:tcW w:w="6061" w:type="dxa"/>
          </w:tcPr>
          <w:p w:rsidR="008919B8" w:rsidRPr="006A3CA0" w:rsidRDefault="008919B8" w:rsidP="00B47028">
            <w:pPr>
              <w:spacing w:line="240" w:lineRule="auto"/>
              <w:rPr>
                <w:b/>
              </w:rPr>
            </w:pPr>
            <w:r w:rsidRPr="006A3CA0">
              <w:rPr>
                <w:b/>
                <w:sz w:val="22"/>
              </w:rPr>
              <w:t xml:space="preserve">Matters Arising </w:t>
            </w:r>
          </w:p>
          <w:p w:rsidR="008919B8" w:rsidRDefault="008919B8" w:rsidP="00B47028"/>
          <w:p w:rsidR="008919B8" w:rsidRPr="00EB7CE7" w:rsidRDefault="008919B8" w:rsidP="00B47028">
            <w:pPr>
              <w:rPr>
                <w:rFonts w:cs="Calibri"/>
              </w:rPr>
            </w:pPr>
            <w:r>
              <w:rPr>
                <w:rFonts w:cs="Calibri"/>
              </w:rPr>
              <w:t xml:space="preserve">None </w:t>
            </w:r>
          </w:p>
        </w:tc>
        <w:tc>
          <w:tcPr>
            <w:tcW w:w="2613" w:type="dxa"/>
          </w:tcPr>
          <w:p w:rsidR="008919B8" w:rsidRPr="006A3CA0" w:rsidRDefault="008919B8" w:rsidP="00B47028">
            <w:pPr>
              <w:spacing w:line="240" w:lineRule="auto"/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Pr="006A3CA0" w:rsidRDefault="008919B8" w:rsidP="00B47028">
            <w:pPr>
              <w:spacing w:line="240" w:lineRule="auto"/>
              <w:rPr>
                <w:rFonts w:cs="Calibri"/>
                <w:color w:val="FF0000"/>
              </w:rPr>
            </w:pPr>
          </w:p>
        </w:tc>
      </w:tr>
      <w:tr w:rsidR="003F627E" w:rsidRPr="006A3CA0" w:rsidTr="00B47028">
        <w:tc>
          <w:tcPr>
            <w:tcW w:w="568" w:type="dxa"/>
          </w:tcPr>
          <w:p w:rsidR="003F627E" w:rsidRPr="006A3CA0" w:rsidRDefault="003F627E" w:rsidP="00B47028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6061" w:type="dxa"/>
          </w:tcPr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r w:rsidRPr="003F627E">
              <w:rPr>
                <w:sz w:val="22"/>
              </w:rPr>
              <w:t>Year End Accounts July 2016 TB170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r w:rsidRPr="003F627E">
              <w:rPr>
                <w:sz w:val="22"/>
              </w:rPr>
              <w:t xml:space="preserve">PB introduced the </w:t>
            </w:r>
            <w:proofErr w:type="gramStart"/>
            <w:r w:rsidRPr="003F627E">
              <w:rPr>
                <w:sz w:val="22"/>
              </w:rPr>
              <w:t>year end</w:t>
            </w:r>
            <w:proofErr w:type="gramEnd"/>
            <w:r w:rsidRPr="003F627E">
              <w:rPr>
                <w:sz w:val="22"/>
              </w:rPr>
              <w:t xml:space="preserve"> </w:t>
            </w:r>
            <w:r w:rsidR="004F0E4E" w:rsidRPr="003F627E">
              <w:rPr>
                <w:sz w:val="22"/>
              </w:rPr>
              <w:t>accounts</w:t>
            </w:r>
            <w:r w:rsidRPr="003F627E">
              <w:rPr>
                <w:sz w:val="22"/>
              </w:rPr>
              <w:t xml:space="preserve"> stating they had yet to be signed off by CCW. 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r w:rsidRPr="003F627E">
              <w:rPr>
                <w:sz w:val="22"/>
              </w:rPr>
              <w:lastRenderedPageBreak/>
              <w:t xml:space="preserve">LHSU due it’ sign will not have to report the pension </w:t>
            </w:r>
            <w:r w:rsidR="004F0E4E" w:rsidRPr="003F627E">
              <w:rPr>
                <w:sz w:val="22"/>
              </w:rPr>
              <w:t>deficit</w:t>
            </w:r>
            <w:r w:rsidRPr="003F627E">
              <w:rPr>
                <w:sz w:val="22"/>
              </w:rPr>
              <w:t xml:space="preserve"> as part of its </w:t>
            </w:r>
            <w:r w:rsidR="004F0E4E" w:rsidRPr="003F627E">
              <w:rPr>
                <w:sz w:val="22"/>
              </w:rPr>
              <w:t>accounts</w:t>
            </w:r>
            <w:r w:rsidRPr="003F627E">
              <w:rPr>
                <w:sz w:val="22"/>
              </w:rPr>
              <w:t xml:space="preserve"> for the next twelve months. 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r w:rsidRPr="003F627E">
              <w:rPr>
                <w:sz w:val="22"/>
              </w:rPr>
              <w:t xml:space="preserve">Due to an increase in media </w:t>
            </w:r>
            <w:proofErr w:type="gramStart"/>
            <w:r w:rsidRPr="003F627E">
              <w:rPr>
                <w:sz w:val="22"/>
              </w:rPr>
              <w:t>sales</w:t>
            </w:r>
            <w:proofErr w:type="gramEnd"/>
            <w:r w:rsidRPr="003F627E">
              <w:rPr>
                <w:sz w:val="22"/>
              </w:rPr>
              <w:t xml:space="preserve"> there is now a surplus of around £2000. </w:t>
            </w:r>
            <w:proofErr w:type="gramStart"/>
            <w:r w:rsidRPr="003F627E">
              <w:rPr>
                <w:sz w:val="22"/>
              </w:rPr>
              <w:t>However</w:t>
            </w:r>
            <w:proofErr w:type="gramEnd"/>
            <w:r w:rsidRPr="003F627E">
              <w:rPr>
                <w:sz w:val="22"/>
              </w:rPr>
              <w:t xml:space="preserve"> restricted funds are in deficit.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990966" w:rsidP="00B4702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CJ</w:t>
            </w:r>
            <w:r w:rsidR="003F627E" w:rsidRPr="003F627E">
              <w:rPr>
                <w:sz w:val="22"/>
              </w:rPr>
              <w:t xml:space="preserve"> Asked how long the SU had been with CCW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r w:rsidRPr="003F627E">
              <w:rPr>
                <w:sz w:val="22"/>
              </w:rPr>
              <w:t>KC – We agreed to go to tender for accounts at the last AGM.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990966" w:rsidP="00B4702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CJ</w:t>
            </w:r>
            <w:r w:rsidR="003F627E" w:rsidRPr="003F627E">
              <w:rPr>
                <w:sz w:val="22"/>
              </w:rPr>
              <w:t xml:space="preserve"> – What is the intention</w:t>
            </w:r>
            <w:r w:rsidR="004F0E4E">
              <w:rPr>
                <w:sz w:val="22"/>
              </w:rPr>
              <w:t xml:space="preserve"> of reserves and how much do we</w:t>
            </w:r>
            <w:r w:rsidR="003F627E" w:rsidRPr="003F627E">
              <w:rPr>
                <w:sz w:val="22"/>
              </w:rPr>
              <w:t xml:space="preserve"> need.</w:t>
            </w: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</w:p>
          <w:p w:rsidR="003F627E" w:rsidRPr="003F627E" w:rsidRDefault="003F627E" w:rsidP="00B47028">
            <w:pPr>
              <w:spacing w:line="240" w:lineRule="auto"/>
              <w:rPr>
                <w:sz w:val="22"/>
              </w:rPr>
            </w:pPr>
            <w:proofErr w:type="gramStart"/>
            <w:r w:rsidRPr="003F627E">
              <w:rPr>
                <w:sz w:val="22"/>
              </w:rPr>
              <w:t>PB  It</w:t>
            </w:r>
            <w:proofErr w:type="gramEnd"/>
            <w:r w:rsidRPr="003F627E">
              <w:rPr>
                <w:sz w:val="22"/>
              </w:rPr>
              <w:t xml:space="preserve"> is good practice to have 6 months operating costs in reserve. </w:t>
            </w:r>
          </w:p>
        </w:tc>
        <w:tc>
          <w:tcPr>
            <w:tcW w:w="2613" w:type="dxa"/>
          </w:tcPr>
          <w:p w:rsidR="003F627E" w:rsidRPr="006A3CA0" w:rsidRDefault="003F627E" w:rsidP="00B47028">
            <w:pPr>
              <w:spacing w:line="240" w:lineRule="auto"/>
            </w:pPr>
          </w:p>
        </w:tc>
      </w:tr>
      <w:tr w:rsidR="008919B8" w:rsidRPr="006A3CA0" w:rsidTr="00B47028">
        <w:trPr>
          <w:trHeight w:val="70"/>
        </w:trPr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061" w:type="dxa"/>
          </w:tcPr>
          <w:p w:rsidR="008919B8" w:rsidRDefault="008919B8" w:rsidP="00B47028">
            <w:pPr>
              <w:spacing w:line="240" w:lineRule="auto"/>
              <w:rPr>
                <w:sz w:val="22"/>
              </w:rPr>
            </w:pPr>
            <w:r w:rsidRPr="00782547">
              <w:rPr>
                <w:b/>
                <w:sz w:val="22"/>
              </w:rPr>
              <w:t>Union Update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  <w:vertAlign w:val="superscript"/>
              </w:rPr>
              <w:t>(paperTB1</w:t>
            </w:r>
            <w:r w:rsidR="003F627E">
              <w:rPr>
                <w:b/>
                <w:sz w:val="22"/>
                <w:vertAlign w:val="superscript"/>
              </w:rPr>
              <w:t>71</w:t>
            </w:r>
            <w:r w:rsidRPr="006A3CA0">
              <w:rPr>
                <w:b/>
                <w:sz w:val="22"/>
                <w:vertAlign w:val="superscript"/>
              </w:rPr>
              <w:t>)</w:t>
            </w: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</w:p>
          <w:p w:rsidR="008919B8" w:rsidRDefault="008919B8" w:rsidP="00B47028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KC introduced the paper and highlighted key aspects that had changed since the </w:t>
            </w:r>
            <w:r w:rsidR="004F0E4E">
              <w:rPr>
                <w:sz w:val="22"/>
              </w:rPr>
              <w:t>previous meeting</w:t>
            </w:r>
          </w:p>
          <w:p w:rsidR="008919B8" w:rsidRPr="006F4BFC" w:rsidRDefault="008919B8" w:rsidP="00B47028">
            <w:pPr>
              <w:spacing w:line="240" w:lineRule="auto"/>
              <w:rPr>
                <w:sz w:val="22"/>
              </w:rPr>
            </w:pPr>
          </w:p>
        </w:tc>
        <w:tc>
          <w:tcPr>
            <w:tcW w:w="2613" w:type="dxa"/>
          </w:tcPr>
          <w:p w:rsidR="008919B8" w:rsidRPr="006A3CA0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Pr="00CE0146" w:rsidRDefault="008919B8" w:rsidP="00B47028">
            <w:pPr>
              <w:spacing w:line="240" w:lineRule="auto"/>
              <w:rPr>
                <w:color w:val="FF0000"/>
              </w:rPr>
            </w:pPr>
          </w:p>
        </w:tc>
      </w:tr>
      <w:tr w:rsidR="008919B8" w:rsidRPr="006A3CA0" w:rsidTr="00B47028">
        <w:trPr>
          <w:trHeight w:val="2366"/>
        </w:trPr>
        <w:tc>
          <w:tcPr>
            <w:tcW w:w="568" w:type="dxa"/>
          </w:tcPr>
          <w:p w:rsidR="008919B8" w:rsidRDefault="008919B8" w:rsidP="00B4702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061" w:type="dxa"/>
          </w:tcPr>
          <w:p w:rsidR="008919B8" w:rsidRDefault="003F627E" w:rsidP="00B47028">
            <w:pPr>
              <w:spacing w:line="240" w:lineRule="auto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Advice Services Update </w:t>
            </w:r>
            <w:r w:rsidR="008919B8">
              <w:rPr>
                <w:b/>
                <w:sz w:val="22"/>
                <w:szCs w:val="24"/>
              </w:rPr>
              <w:t xml:space="preserve"> </w:t>
            </w:r>
            <w:r w:rsidR="008919B8">
              <w:rPr>
                <w:b/>
                <w:sz w:val="22"/>
                <w:vertAlign w:val="superscript"/>
              </w:rPr>
              <w:t>(paperTB1</w:t>
            </w:r>
            <w:r>
              <w:rPr>
                <w:b/>
                <w:sz w:val="22"/>
                <w:vertAlign w:val="superscript"/>
              </w:rPr>
              <w:t>72</w:t>
            </w:r>
            <w:r w:rsidR="008919B8">
              <w:rPr>
                <w:b/>
                <w:sz w:val="22"/>
                <w:vertAlign w:val="superscript"/>
              </w:rPr>
              <w:t xml:space="preserve"> </w:t>
            </w:r>
            <w:r w:rsidR="008919B8" w:rsidRPr="006A3CA0">
              <w:rPr>
                <w:b/>
                <w:sz w:val="22"/>
                <w:vertAlign w:val="superscript"/>
              </w:rPr>
              <w:t>)</w:t>
            </w:r>
          </w:p>
          <w:p w:rsidR="008919B8" w:rsidRDefault="008919B8" w:rsidP="00B47028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8919B8" w:rsidRDefault="00990966" w:rsidP="00B47028">
            <w:pPr>
              <w:spacing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CJ</w:t>
            </w:r>
            <w:r w:rsidR="003F627E">
              <w:rPr>
                <w:sz w:val="22"/>
                <w:szCs w:val="24"/>
              </w:rPr>
              <w:t xml:space="preserve"> raised concerns about the sustainability of taking up </w:t>
            </w:r>
            <w:r w:rsidR="003E5020">
              <w:rPr>
                <w:sz w:val="22"/>
                <w:szCs w:val="24"/>
              </w:rPr>
              <w:t xml:space="preserve">advice services on behalf of the university and that we need to </w:t>
            </w:r>
            <w:r w:rsidR="004F0E4E">
              <w:rPr>
                <w:sz w:val="22"/>
                <w:szCs w:val="24"/>
              </w:rPr>
              <w:t>assess</w:t>
            </w:r>
            <w:r w:rsidR="003E5020">
              <w:rPr>
                <w:sz w:val="22"/>
                <w:szCs w:val="24"/>
              </w:rPr>
              <w:t xml:space="preserve"> how much extra time </w:t>
            </w:r>
            <w:proofErr w:type="gramStart"/>
            <w:r w:rsidR="003E5020">
              <w:rPr>
                <w:sz w:val="22"/>
                <w:szCs w:val="24"/>
              </w:rPr>
              <w:t>is taken up</w:t>
            </w:r>
            <w:proofErr w:type="gramEnd"/>
            <w:r w:rsidR="003E5020">
              <w:rPr>
                <w:sz w:val="22"/>
                <w:szCs w:val="24"/>
              </w:rPr>
              <w:t xml:space="preserve"> by the increased workload and what its effects are on student voice services. </w:t>
            </w:r>
          </w:p>
          <w:p w:rsidR="003E5020" w:rsidRDefault="003E5020" w:rsidP="00B47028">
            <w:pPr>
              <w:spacing w:line="240" w:lineRule="auto"/>
              <w:rPr>
                <w:sz w:val="22"/>
                <w:szCs w:val="24"/>
              </w:rPr>
            </w:pPr>
          </w:p>
          <w:p w:rsidR="003E5020" w:rsidRDefault="003E5020" w:rsidP="00B47028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sz w:val="22"/>
                <w:szCs w:val="24"/>
              </w:rPr>
            </w:pPr>
          </w:p>
        </w:tc>
        <w:tc>
          <w:tcPr>
            <w:tcW w:w="2613" w:type="dxa"/>
          </w:tcPr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Pr="00036A67" w:rsidRDefault="008919B8" w:rsidP="00B47028">
            <w:pPr>
              <w:spacing w:line="240" w:lineRule="auto"/>
              <w:rPr>
                <w:color w:val="FF0000"/>
              </w:rPr>
            </w:pPr>
          </w:p>
        </w:tc>
      </w:tr>
      <w:tr w:rsidR="008919B8" w:rsidRPr="006A3CA0" w:rsidTr="00B47028">
        <w:tc>
          <w:tcPr>
            <w:tcW w:w="568" w:type="dxa"/>
          </w:tcPr>
          <w:p w:rsidR="008919B8" w:rsidRPr="006A3CA0" w:rsidRDefault="008919B8" w:rsidP="00B4702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061" w:type="dxa"/>
          </w:tcPr>
          <w:p w:rsidR="008919B8" w:rsidRDefault="003E5020" w:rsidP="00B47028">
            <w:pPr>
              <w:rPr>
                <w:b/>
                <w:szCs w:val="24"/>
              </w:rPr>
            </w:pPr>
            <w:r>
              <w:rPr>
                <w:b/>
              </w:rPr>
              <w:t xml:space="preserve">Deactivation of Clubs and Societies </w:t>
            </w:r>
            <w:r w:rsidR="008919B8" w:rsidRPr="00021AA2">
              <w:rPr>
                <w:b/>
              </w:rPr>
              <w:t xml:space="preserve"> </w:t>
            </w:r>
            <w:r w:rsidR="008919B8">
              <w:rPr>
                <w:b/>
                <w:sz w:val="22"/>
                <w:vertAlign w:val="superscript"/>
              </w:rPr>
              <w:t>(paperTB162</w:t>
            </w:r>
            <w:r w:rsidR="008919B8" w:rsidRPr="006A3CA0">
              <w:rPr>
                <w:b/>
                <w:sz w:val="22"/>
                <w:vertAlign w:val="superscript"/>
              </w:rPr>
              <w:t>)</w:t>
            </w:r>
          </w:p>
          <w:p w:rsidR="008919B8" w:rsidRDefault="008919B8" w:rsidP="00B47028">
            <w:pPr>
              <w:spacing w:line="240" w:lineRule="auto"/>
              <w:rPr>
                <w:b/>
                <w:sz w:val="22"/>
                <w:szCs w:val="24"/>
              </w:rPr>
            </w:pPr>
          </w:p>
          <w:p w:rsidR="008919B8" w:rsidRPr="004F0E4E" w:rsidRDefault="003E5020" w:rsidP="003E5020">
            <w:pPr>
              <w:rPr>
                <w:sz w:val="22"/>
                <w:szCs w:val="24"/>
              </w:rPr>
            </w:pPr>
            <w:r w:rsidRPr="004F0E4E">
              <w:rPr>
                <w:sz w:val="22"/>
                <w:szCs w:val="24"/>
              </w:rPr>
              <w:t xml:space="preserve">SC introduced his paper regarding formalising a process for the deactivation of dormant student groups and redistribution of funds. </w:t>
            </w:r>
          </w:p>
          <w:p w:rsidR="003E5020" w:rsidRPr="004F0E4E" w:rsidRDefault="003E5020" w:rsidP="003E5020">
            <w:pPr>
              <w:rPr>
                <w:sz w:val="22"/>
                <w:szCs w:val="24"/>
              </w:rPr>
            </w:pPr>
          </w:p>
          <w:p w:rsidR="003E5020" w:rsidRPr="004F0E4E" w:rsidRDefault="003E5020" w:rsidP="003E5020">
            <w:pPr>
              <w:rPr>
                <w:sz w:val="22"/>
                <w:szCs w:val="24"/>
              </w:rPr>
            </w:pPr>
            <w:r w:rsidRPr="004F0E4E">
              <w:rPr>
                <w:sz w:val="22"/>
                <w:szCs w:val="24"/>
              </w:rPr>
              <w:t xml:space="preserve">Concern was expressed about the synergy of this proposal and current finance </w:t>
            </w:r>
            <w:proofErr w:type="gramStart"/>
            <w:r w:rsidRPr="004F0E4E">
              <w:rPr>
                <w:sz w:val="22"/>
                <w:szCs w:val="24"/>
              </w:rPr>
              <w:t>regulations which</w:t>
            </w:r>
            <w:proofErr w:type="gramEnd"/>
            <w:r w:rsidRPr="004F0E4E">
              <w:rPr>
                <w:sz w:val="22"/>
                <w:szCs w:val="24"/>
              </w:rPr>
              <w:t xml:space="preserve"> state that dormant groups funds should be distributed to groups with similar aims. </w:t>
            </w:r>
          </w:p>
          <w:p w:rsidR="003E5020" w:rsidRPr="004F0E4E" w:rsidRDefault="003E5020" w:rsidP="003E5020">
            <w:pPr>
              <w:rPr>
                <w:sz w:val="22"/>
                <w:szCs w:val="24"/>
              </w:rPr>
            </w:pPr>
            <w:r w:rsidRPr="004F0E4E">
              <w:rPr>
                <w:sz w:val="22"/>
                <w:szCs w:val="24"/>
              </w:rPr>
              <w:br/>
              <w:t>PB also me</w:t>
            </w:r>
            <w:r w:rsidR="004F0E4E">
              <w:rPr>
                <w:sz w:val="22"/>
                <w:szCs w:val="24"/>
              </w:rPr>
              <w:t>ntioned that funds raised by the</w:t>
            </w:r>
            <w:r w:rsidRPr="004F0E4E">
              <w:rPr>
                <w:sz w:val="22"/>
                <w:szCs w:val="24"/>
              </w:rPr>
              <w:t xml:space="preserve"> group directly </w:t>
            </w:r>
            <w:proofErr w:type="gramStart"/>
            <w:r w:rsidRPr="004F0E4E">
              <w:rPr>
                <w:sz w:val="22"/>
                <w:szCs w:val="24"/>
              </w:rPr>
              <w:t>couldn’t</w:t>
            </w:r>
            <w:proofErr w:type="gramEnd"/>
            <w:r w:rsidRPr="004F0E4E">
              <w:rPr>
                <w:sz w:val="22"/>
                <w:szCs w:val="24"/>
              </w:rPr>
              <w:t xml:space="preserve"> be generally distributed whilst funds granted by the Students’’ Union could be. </w:t>
            </w:r>
          </w:p>
          <w:p w:rsidR="003E5020" w:rsidRPr="00C86C02" w:rsidRDefault="003E5020" w:rsidP="003E5020">
            <w:pPr>
              <w:rPr>
                <w:b/>
                <w:sz w:val="22"/>
                <w:szCs w:val="24"/>
              </w:rPr>
            </w:pPr>
            <w:r w:rsidRPr="004F0E4E">
              <w:rPr>
                <w:sz w:val="22"/>
                <w:szCs w:val="24"/>
              </w:rPr>
              <w:lastRenderedPageBreak/>
              <w:br/>
              <w:t>SC to represent the paper after further investigation</w:t>
            </w:r>
            <w:r>
              <w:rPr>
                <w:b/>
                <w:sz w:val="22"/>
                <w:szCs w:val="24"/>
              </w:rPr>
              <w:t xml:space="preserve">. </w:t>
            </w:r>
          </w:p>
        </w:tc>
        <w:tc>
          <w:tcPr>
            <w:tcW w:w="2613" w:type="dxa"/>
          </w:tcPr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Pr="00246A1A" w:rsidRDefault="008919B8" w:rsidP="00B4702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lastRenderedPageBreak/>
              <w:t>SC</w:t>
            </w:r>
          </w:p>
        </w:tc>
      </w:tr>
    </w:tbl>
    <w:p w:rsidR="008919B8" w:rsidRDefault="008919B8" w:rsidP="008919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906"/>
        <w:gridCol w:w="2551"/>
      </w:tblGrid>
      <w:tr w:rsidR="008919B8" w:rsidRPr="006A3CA0" w:rsidTr="004F0E4E">
        <w:tc>
          <w:tcPr>
            <w:tcW w:w="559" w:type="dxa"/>
          </w:tcPr>
          <w:p w:rsidR="008919B8" w:rsidRPr="006A3CA0" w:rsidRDefault="008919B8" w:rsidP="00B47028">
            <w:pPr>
              <w:spacing w:line="240" w:lineRule="auto"/>
              <w:jc w:val="center"/>
            </w:pPr>
            <w:r w:rsidRPr="006A3CA0">
              <w:rPr>
                <w:sz w:val="22"/>
              </w:rPr>
              <w:t>8</w:t>
            </w:r>
          </w:p>
        </w:tc>
        <w:tc>
          <w:tcPr>
            <w:tcW w:w="5906" w:type="dxa"/>
          </w:tcPr>
          <w:p w:rsidR="008919B8" w:rsidRPr="00205F83" w:rsidRDefault="003E5020" w:rsidP="00B4702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 xml:space="preserve">Student Trustee Recruitment </w:t>
            </w:r>
            <w:r w:rsidR="008919B8">
              <w:rPr>
                <w:b/>
                <w:sz w:val="22"/>
                <w:szCs w:val="24"/>
              </w:rPr>
              <w:t xml:space="preserve"> </w:t>
            </w:r>
            <w:r w:rsidR="008919B8">
              <w:rPr>
                <w:b/>
                <w:sz w:val="22"/>
                <w:vertAlign w:val="superscript"/>
              </w:rPr>
              <w:t>(paperTB1</w:t>
            </w:r>
            <w:r>
              <w:rPr>
                <w:b/>
                <w:sz w:val="22"/>
                <w:vertAlign w:val="superscript"/>
              </w:rPr>
              <w:t>74</w:t>
            </w:r>
            <w:r w:rsidR="008919B8" w:rsidRPr="006A3CA0">
              <w:rPr>
                <w:b/>
                <w:sz w:val="22"/>
                <w:vertAlign w:val="superscript"/>
              </w:rPr>
              <w:t>)</w:t>
            </w:r>
          </w:p>
          <w:p w:rsidR="008919B8" w:rsidRDefault="008919B8" w:rsidP="00B47028">
            <w:pPr>
              <w:rPr>
                <w:sz w:val="22"/>
                <w:szCs w:val="24"/>
              </w:rPr>
            </w:pPr>
          </w:p>
          <w:p w:rsidR="008919B8" w:rsidRDefault="008919B8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KC presented the report 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</w:p>
          <w:p w:rsidR="00CB3DAC" w:rsidRDefault="00CB3DAC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A discussion ensued about the relationships between the role of forum </w:t>
            </w:r>
            <w:r w:rsidR="004F0E4E">
              <w:rPr>
                <w:sz w:val="22"/>
                <w:szCs w:val="24"/>
              </w:rPr>
              <w:t>chairs</w:t>
            </w:r>
            <w:r>
              <w:rPr>
                <w:sz w:val="22"/>
                <w:szCs w:val="24"/>
              </w:rPr>
              <w:t xml:space="preserve"> and student trustees 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PS Preferred trustees to be forum chairs 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CS Better democratic connection to have part time officers as forum chairs. 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</w:p>
          <w:p w:rsidR="00CB3DAC" w:rsidRDefault="00CB3DAC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It </w:t>
            </w:r>
            <w:proofErr w:type="gramStart"/>
            <w:r>
              <w:rPr>
                <w:sz w:val="22"/>
                <w:szCs w:val="24"/>
              </w:rPr>
              <w:t>was agreed</w:t>
            </w:r>
            <w:proofErr w:type="gramEnd"/>
            <w:r>
              <w:rPr>
                <w:sz w:val="22"/>
                <w:szCs w:val="24"/>
              </w:rPr>
              <w:t xml:space="preserve"> to have Part time officers to chair forum meetings. 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</w:p>
          <w:p w:rsidR="00CB3DAC" w:rsidRDefault="00CB3DAC" w:rsidP="00BF04C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CS suggested that external person such as a NUS staff member might sit on interview panel.</w:t>
            </w:r>
          </w:p>
          <w:p w:rsidR="00CB3DAC" w:rsidRDefault="00CB3DAC" w:rsidP="00BF04CD">
            <w:pPr>
              <w:rPr>
                <w:sz w:val="22"/>
                <w:szCs w:val="24"/>
              </w:rPr>
            </w:pPr>
          </w:p>
          <w:p w:rsidR="00CB3DAC" w:rsidRPr="0001503A" w:rsidRDefault="00CB3DAC" w:rsidP="00BF04CD">
            <w:pPr>
              <w:rPr>
                <w:sz w:val="22"/>
              </w:rPr>
            </w:pPr>
            <w:r>
              <w:rPr>
                <w:sz w:val="22"/>
                <w:szCs w:val="24"/>
              </w:rPr>
              <w:t xml:space="preserve">Paper and timetable </w:t>
            </w:r>
            <w:proofErr w:type="gramStart"/>
            <w:r>
              <w:rPr>
                <w:sz w:val="22"/>
                <w:szCs w:val="24"/>
              </w:rPr>
              <w:t>were approved</w:t>
            </w:r>
            <w:proofErr w:type="gramEnd"/>
            <w:r>
              <w:rPr>
                <w:sz w:val="22"/>
                <w:szCs w:val="24"/>
              </w:rPr>
              <w:t>.</w:t>
            </w:r>
          </w:p>
        </w:tc>
        <w:tc>
          <w:tcPr>
            <w:tcW w:w="2551" w:type="dxa"/>
          </w:tcPr>
          <w:p w:rsidR="008919B8" w:rsidRPr="006A3CA0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Pr="006A3CA0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Pr="006A3CA0" w:rsidRDefault="008919B8" w:rsidP="00B47028">
            <w:pPr>
              <w:spacing w:line="240" w:lineRule="auto"/>
              <w:rPr>
                <w:color w:val="FF0000"/>
                <w:sz w:val="20"/>
                <w:szCs w:val="24"/>
              </w:rPr>
            </w:pPr>
          </w:p>
          <w:p w:rsidR="008919B8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  <w:p w:rsidR="008919B8" w:rsidRPr="006A3CA0" w:rsidRDefault="008919B8" w:rsidP="00B47028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8919B8" w:rsidRPr="006A3CA0" w:rsidTr="004F0E4E">
        <w:tc>
          <w:tcPr>
            <w:tcW w:w="559" w:type="dxa"/>
          </w:tcPr>
          <w:p w:rsidR="008919B8" w:rsidRPr="006A3CA0" w:rsidRDefault="008919B8" w:rsidP="00B47028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906" w:type="dxa"/>
          </w:tcPr>
          <w:p w:rsidR="008919B8" w:rsidRDefault="00CB3DAC" w:rsidP="00B470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Urgent Business – </w:t>
            </w:r>
          </w:p>
          <w:p w:rsidR="00CB3DAC" w:rsidRDefault="00CB3DAC" w:rsidP="00B47028">
            <w:pPr>
              <w:rPr>
                <w:sz w:val="22"/>
                <w:szCs w:val="24"/>
              </w:rPr>
            </w:pPr>
          </w:p>
          <w:p w:rsidR="00CB3DAC" w:rsidRDefault="00CB3DAC" w:rsidP="00B470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PS Raised the issue of approval of the extension if his </w:t>
            </w:r>
            <w:r w:rsidR="004F0E4E">
              <w:rPr>
                <w:sz w:val="22"/>
                <w:szCs w:val="24"/>
              </w:rPr>
              <w:t>International</w:t>
            </w:r>
            <w:r>
              <w:rPr>
                <w:sz w:val="22"/>
                <w:szCs w:val="24"/>
              </w:rPr>
              <w:t xml:space="preserve"> visa. This </w:t>
            </w:r>
            <w:proofErr w:type="gramStart"/>
            <w:r>
              <w:rPr>
                <w:sz w:val="22"/>
                <w:szCs w:val="24"/>
              </w:rPr>
              <w:t>was approved</w:t>
            </w:r>
            <w:proofErr w:type="gramEnd"/>
            <w:r>
              <w:rPr>
                <w:sz w:val="22"/>
                <w:szCs w:val="24"/>
              </w:rPr>
              <w:t xml:space="preserve">. </w:t>
            </w:r>
          </w:p>
          <w:p w:rsidR="00CB3DAC" w:rsidRDefault="00CB3DAC" w:rsidP="00B47028">
            <w:pPr>
              <w:rPr>
                <w:sz w:val="22"/>
                <w:szCs w:val="24"/>
              </w:rPr>
            </w:pPr>
          </w:p>
          <w:p w:rsidR="00CB3DAC" w:rsidRDefault="00CB3DAC" w:rsidP="00B470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SC raised the issue of extension of Sports </w:t>
            </w:r>
            <w:r w:rsidR="004F0E4E">
              <w:rPr>
                <w:sz w:val="22"/>
                <w:szCs w:val="24"/>
              </w:rPr>
              <w:t>Administration</w:t>
            </w:r>
            <w:r>
              <w:rPr>
                <w:sz w:val="22"/>
                <w:szCs w:val="24"/>
              </w:rPr>
              <w:t xml:space="preserve"> </w:t>
            </w:r>
            <w:r w:rsidR="004F0E4E">
              <w:rPr>
                <w:sz w:val="22"/>
                <w:szCs w:val="24"/>
              </w:rPr>
              <w:t>Assistant</w:t>
            </w:r>
            <w:r>
              <w:rPr>
                <w:sz w:val="22"/>
                <w:szCs w:val="24"/>
              </w:rPr>
              <w:t xml:space="preserve"> contact from march 31</w:t>
            </w:r>
            <w:r w:rsidRPr="00CB3DAC">
              <w:rPr>
                <w:sz w:val="22"/>
                <w:szCs w:val="24"/>
                <w:vertAlign w:val="superscript"/>
              </w:rPr>
              <w:t>st</w:t>
            </w:r>
            <w:r>
              <w:rPr>
                <w:sz w:val="22"/>
                <w:szCs w:val="24"/>
              </w:rPr>
              <w:t xml:space="preserve"> </w:t>
            </w:r>
            <w:proofErr w:type="gramStart"/>
            <w:r>
              <w:rPr>
                <w:sz w:val="22"/>
                <w:szCs w:val="24"/>
              </w:rPr>
              <w:t>till</w:t>
            </w:r>
            <w:proofErr w:type="gramEnd"/>
            <w:r>
              <w:rPr>
                <w:sz w:val="22"/>
                <w:szCs w:val="24"/>
              </w:rPr>
              <w:t xml:space="preserve"> May 31</w:t>
            </w:r>
            <w:r w:rsidRPr="00CB3DAC">
              <w:rPr>
                <w:sz w:val="22"/>
                <w:szCs w:val="24"/>
                <w:vertAlign w:val="superscript"/>
              </w:rPr>
              <w:t>st</w:t>
            </w:r>
            <w:r>
              <w:rPr>
                <w:sz w:val="22"/>
                <w:szCs w:val="24"/>
              </w:rPr>
              <w:t xml:space="preserve"> to cover hand over to new teams and sports development issues. This was agreed in principle depending on funds, further report to be tabled at next trustee meeting </w:t>
            </w:r>
          </w:p>
          <w:p w:rsidR="00CB3DAC" w:rsidRDefault="00CB3DAC" w:rsidP="00B47028">
            <w:pPr>
              <w:rPr>
                <w:sz w:val="22"/>
                <w:szCs w:val="24"/>
              </w:rPr>
            </w:pPr>
          </w:p>
          <w:p w:rsidR="00CB3DAC" w:rsidRDefault="00CB3DAC" w:rsidP="00B470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CB Requested that she </w:t>
            </w:r>
            <w:r w:rsidR="004F0E4E">
              <w:rPr>
                <w:sz w:val="22"/>
                <w:szCs w:val="24"/>
              </w:rPr>
              <w:t>returned</w:t>
            </w:r>
            <w:r>
              <w:rPr>
                <w:sz w:val="22"/>
                <w:szCs w:val="24"/>
              </w:rPr>
              <w:t xml:space="preserve"> to work on a 0.8 </w:t>
            </w:r>
            <w:r w:rsidR="00EB1506">
              <w:rPr>
                <w:sz w:val="22"/>
                <w:szCs w:val="24"/>
              </w:rPr>
              <w:t>contract.</w:t>
            </w:r>
          </w:p>
          <w:p w:rsidR="00EB1506" w:rsidRDefault="00EB1506" w:rsidP="00B47028">
            <w:pPr>
              <w:rPr>
                <w:sz w:val="22"/>
                <w:szCs w:val="24"/>
              </w:rPr>
            </w:pPr>
          </w:p>
          <w:p w:rsidR="00EB1506" w:rsidRPr="00D558CA" w:rsidRDefault="00EB1506" w:rsidP="00B470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This was agreed. </w:t>
            </w:r>
            <w:r>
              <w:rPr>
                <w:sz w:val="22"/>
                <w:szCs w:val="24"/>
              </w:rPr>
              <w:br/>
            </w:r>
            <w:r>
              <w:rPr>
                <w:sz w:val="22"/>
                <w:szCs w:val="24"/>
              </w:rPr>
              <w:br/>
              <w:t>PB to sourc</w:t>
            </w:r>
            <w:r w:rsidR="004F0E4E">
              <w:rPr>
                <w:sz w:val="22"/>
                <w:szCs w:val="24"/>
              </w:rPr>
              <w:t xml:space="preserve">e staff support until the end of March </w:t>
            </w:r>
          </w:p>
        </w:tc>
        <w:tc>
          <w:tcPr>
            <w:tcW w:w="2551" w:type="dxa"/>
          </w:tcPr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8919B8" w:rsidRDefault="008919B8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CB/SC</w:t>
            </w: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Default="004F0E4E" w:rsidP="00B47028">
            <w:pPr>
              <w:spacing w:line="240" w:lineRule="auto"/>
              <w:rPr>
                <w:color w:val="FF0000"/>
              </w:rPr>
            </w:pPr>
          </w:p>
          <w:p w:rsidR="004F0E4E" w:rsidRPr="00036A67" w:rsidRDefault="004F0E4E" w:rsidP="00B47028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PB </w:t>
            </w:r>
          </w:p>
        </w:tc>
      </w:tr>
    </w:tbl>
    <w:p w:rsidR="008919B8" w:rsidRDefault="008919B8" w:rsidP="008919B8"/>
    <w:p w:rsidR="008919B8" w:rsidRPr="008F2BDC" w:rsidRDefault="008919B8" w:rsidP="008919B8">
      <w:pPr>
        <w:jc w:val="center"/>
        <w:rPr>
          <w:b/>
        </w:rPr>
      </w:pPr>
      <w:r w:rsidRPr="008F2BDC">
        <w:rPr>
          <w:b/>
        </w:rPr>
        <w:t>Chair closed the meeting.</w:t>
      </w:r>
    </w:p>
    <w:p w:rsidR="008919B8" w:rsidRDefault="008919B8" w:rsidP="008919B8"/>
    <w:p w:rsidR="008919B8" w:rsidRDefault="008919B8" w:rsidP="008919B8">
      <w:r w:rsidRPr="008F2BDC">
        <w:rPr>
          <w:b/>
        </w:rPr>
        <w:t xml:space="preserve">Date of next </w:t>
      </w:r>
      <w:proofErr w:type="gramStart"/>
      <w:r w:rsidRPr="008F2BDC">
        <w:rPr>
          <w:b/>
        </w:rPr>
        <w:t>meeting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4F0E4E">
        <w:rPr>
          <w:b/>
        </w:rPr>
        <w:t>17</w:t>
      </w:r>
      <w:r w:rsidR="004F0E4E" w:rsidRPr="004F0E4E">
        <w:rPr>
          <w:b/>
          <w:vertAlign w:val="superscript"/>
        </w:rPr>
        <w:t>th</w:t>
      </w:r>
      <w:r w:rsidR="004F0E4E">
        <w:rPr>
          <w:b/>
        </w:rPr>
        <w:t xml:space="preserve"> January 2017</w:t>
      </w:r>
    </w:p>
    <w:p w:rsidR="008919B8" w:rsidRDefault="008919B8" w:rsidP="008919B8"/>
    <w:p w:rsidR="008919B8" w:rsidRDefault="008919B8" w:rsidP="008919B8"/>
    <w:p w:rsidR="006D7577" w:rsidRDefault="006D7577"/>
    <w:sectPr w:rsidR="006D7577" w:rsidSect="00565338">
      <w:headerReference w:type="default" r:id="rId7"/>
      <w:footerReference w:type="default" r:id="rId8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C45" w:rsidRDefault="004F0E4E">
      <w:pPr>
        <w:spacing w:line="240" w:lineRule="auto"/>
      </w:pPr>
      <w:r>
        <w:separator/>
      </w:r>
    </w:p>
  </w:endnote>
  <w:endnote w:type="continuationSeparator" w:id="0">
    <w:p w:rsidR="00FC2C45" w:rsidRDefault="004F0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B7210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32B7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932B75">
      <w:rPr>
        <w:b/>
        <w:bCs/>
        <w:noProof/>
      </w:rPr>
      <w:t>3</w:t>
    </w:r>
    <w:r>
      <w:rPr>
        <w:b/>
        <w:bCs/>
      </w:rPr>
      <w:fldChar w:fldCharType="end"/>
    </w:r>
  </w:p>
  <w:p w:rsidR="00D569F3" w:rsidRDefault="0093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C45" w:rsidRDefault="004F0E4E">
      <w:pPr>
        <w:spacing w:line="240" w:lineRule="auto"/>
      </w:pPr>
      <w:r>
        <w:separator/>
      </w:r>
    </w:p>
  </w:footnote>
  <w:footnote w:type="continuationSeparator" w:id="0">
    <w:p w:rsidR="00FC2C45" w:rsidRDefault="004F0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B75" w:rsidRPr="00932B75" w:rsidRDefault="00B7210D">
    <w:pPr>
      <w:pStyle w:val="Header"/>
      <w:rPr>
        <w:lang w:val="en-GB"/>
      </w:rPr>
    </w:pPr>
    <w:r>
      <w:rPr>
        <w:lang w:val="en-GB"/>
      </w:rPr>
      <w:t>TB</w:t>
    </w:r>
    <w:r w:rsidR="00932B75">
      <w:rPr>
        <w:lang w:val="en-GB"/>
      </w:rPr>
      <w:t>175</w:t>
    </w:r>
  </w:p>
  <w:p w:rsidR="00D569F3" w:rsidRPr="00E401C4" w:rsidRDefault="00932B75" w:rsidP="005653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8"/>
    <w:rsid w:val="003E5020"/>
    <w:rsid w:val="003F627E"/>
    <w:rsid w:val="004F0E4E"/>
    <w:rsid w:val="006D7577"/>
    <w:rsid w:val="008919B8"/>
    <w:rsid w:val="00932B75"/>
    <w:rsid w:val="00990966"/>
    <w:rsid w:val="00B7210D"/>
    <w:rsid w:val="00BF04CD"/>
    <w:rsid w:val="00CB3DAC"/>
    <w:rsid w:val="00EB1506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D370"/>
  <w15:chartTrackingRefBased/>
  <w15:docId w15:val="{78708F17-547B-4649-BD1F-027555A8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9B8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9B8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9B8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19B8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8919B8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8919B8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919B8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919B8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919B8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UNION</cp:lastModifiedBy>
  <cp:revision>3</cp:revision>
  <cp:lastPrinted>2017-01-17T11:48:00Z</cp:lastPrinted>
  <dcterms:created xsi:type="dcterms:W3CDTF">2017-01-10T10:24:00Z</dcterms:created>
  <dcterms:modified xsi:type="dcterms:W3CDTF">2017-01-17T16:44:00Z</dcterms:modified>
</cp:coreProperties>
</file>